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D3" w:rsidRPr="00726BE4" w:rsidRDefault="00DC49D3" w:rsidP="00DC49D3">
      <w:pPr>
        <w:rPr>
          <w:b/>
          <w:i/>
          <w:szCs w:val="24"/>
        </w:rPr>
      </w:pPr>
      <w:bookmarkStart w:id="0" w:name="OLE_LINK1"/>
      <w:bookmarkStart w:id="1" w:name="OLE_LINK2"/>
      <w:r w:rsidRPr="00726BE4">
        <w:rPr>
          <w:sz w:val="26"/>
          <w:szCs w:val="26"/>
        </w:rPr>
        <w:t>Budžeta un finanšu (nodokļu) komisija</w:t>
      </w:r>
      <w:r w:rsidRPr="00726BE4">
        <w:rPr>
          <w:sz w:val="26"/>
          <w:szCs w:val="26"/>
        </w:rPr>
        <w:tab/>
      </w:r>
      <w:r w:rsidR="00C6206F" w:rsidRPr="00C6206F">
        <w:rPr>
          <w:b/>
          <w:i/>
          <w:sz w:val="26"/>
          <w:szCs w:val="26"/>
        </w:rPr>
        <w:t>25.07.2017.</w:t>
      </w:r>
    </w:p>
    <w:p w:rsidR="00DC49D3" w:rsidRPr="00726BE4" w:rsidRDefault="00DC49D3" w:rsidP="00DC49D3">
      <w:pPr>
        <w:jc w:val="right"/>
        <w:rPr>
          <w:sz w:val="26"/>
          <w:szCs w:val="26"/>
        </w:rPr>
      </w:pPr>
      <w:r w:rsidRPr="00726BE4">
        <w:rPr>
          <w:sz w:val="26"/>
          <w:szCs w:val="26"/>
        </w:rPr>
        <w:t>Likumprojekts (steidzams) otrajam lasījumam</w:t>
      </w:r>
    </w:p>
    <w:p w:rsidR="00DC49D3" w:rsidRPr="00726BE4" w:rsidRDefault="00DC49D3" w:rsidP="00DC49D3">
      <w:pPr>
        <w:tabs>
          <w:tab w:val="left" w:pos="6804"/>
        </w:tabs>
        <w:spacing w:before="100" w:beforeAutospacing="1"/>
        <w:jc w:val="center"/>
        <w:outlineLvl w:val="3"/>
        <w:rPr>
          <w:rFonts w:eastAsia="Times New Roman"/>
          <w:b/>
          <w:bCs/>
          <w:sz w:val="28"/>
          <w:szCs w:val="28"/>
          <w:lang w:eastAsia="lv-LV"/>
        </w:rPr>
      </w:pPr>
      <w:bookmarkStart w:id="2" w:name="_GoBack"/>
      <w:r w:rsidRPr="00726BE4">
        <w:rPr>
          <w:b/>
          <w:sz w:val="28"/>
          <w:szCs w:val="28"/>
        </w:rPr>
        <w:t>Grozījumi likumā “Par izložu un azartspēļu nodevu un nodokli”</w:t>
      </w:r>
    </w:p>
    <w:p w:rsidR="00DC49D3" w:rsidRPr="00726BE4" w:rsidRDefault="00DC49D3" w:rsidP="00DC49D3">
      <w:pPr>
        <w:jc w:val="center"/>
        <w:rPr>
          <w:rStyle w:val="Emphasis"/>
          <w:b/>
          <w:sz w:val="26"/>
          <w:szCs w:val="26"/>
        </w:rPr>
      </w:pPr>
      <w:r w:rsidRPr="00726BE4">
        <w:rPr>
          <w:rStyle w:val="Emphasis"/>
          <w:b/>
          <w:sz w:val="26"/>
          <w:szCs w:val="26"/>
        </w:rPr>
        <w:t xml:space="preserve"> (Nr.976/Lp12)</w:t>
      </w:r>
    </w:p>
    <w:bookmarkEnd w:id="2"/>
    <w:p w:rsidR="00DC49D3" w:rsidRPr="00726BE4" w:rsidRDefault="00DC49D3" w:rsidP="00DC49D3">
      <w:pPr>
        <w:rPr>
          <w:rStyle w:val="Emphasis"/>
          <w:b/>
          <w:sz w:val="26"/>
          <w:szCs w:val="26"/>
        </w:rPr>
      </w:pP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4423"/>
        <w:gridCol w:w="567"/>
        <w:gridCol w:w="4423"/>
        <w:gridCol w:w="1418"/>
        <w:gridCol w:w="1418"/>
      </w:tblGrid>
      <w:tr w:rsidR="00347DAA" w:rsidRPr="00726BE4" w:rsidTr="00347DAA">
        <w:tc>
          <w:tcPr>
            <w:tcW w:w="3256" w:type="dxa"/>
            <w:shd w:val="clear" w:color="auto" w:fill="auto"/>
            <w:vAlign w:val="center"/>
          </w:tcPr>
          <w:p w:rsidR="00347DAA" w:rsidRPr="00726BE4" w:rsidRDefault="00347DAA" w:rsidP="00347DAA">
            <w:pPr>
              <w:jc w:val="center"/>
              <w:rPr>
                <w:b/>
                <w:bCs/>
                <w:iCs/>
              </w:rPr>
            </w:pPr>
            <w:r w:rsidRPr="00726BE4">
              <w:rPr>
                <w:b/>
                <w:bCs/>
                <w:iCs/>
              </w:rPr>
              <w:t>Spēkā esošā redakcija</w:t>
            </w:r>
          </w:p>
        </w:tc>
        <w:tc>
          <w:tcPr>
            <w:tcW w:w="4423" w:type="dxa"/>
            <w:shd w:val="clear" w:color="auto" w:fill="auto"/>
            <w:vAlign w:val="center"/>
          </w:tcPr>
          <w:p w:rsidR="00347DAA" w:rsidRPr="00726BE4" w:rsidRDefault="00347DAA" w:rsidP="00347DAA">
            <w:pPr>
              <w:jc w:val="center"/>
              <w:rPr>
                <w:b/>
              </w:rPr>
            </w:pPr>
            <w:r w:rsidRPr="00726BE4">
              <w:rPr>
                <w:b/>
              </w:rPr>
              <w:t>Pirmā lasījuma redakcija</w:t>
            </w:r>
          </w:p>
        </w:tc>
        <w:tc>
          <w:tcPr>
            <w:tcW w:w="567" w:type="dxa"/>
            <w:vAlign w:val="center"/>
          </w:tcPr>
          <w:p w:rsidR="00347DAA" w:rsidRPr="00726BE4" w:rsidRDefault="00347DAA" w:rsidP="00347DAA">
            <w:pPr>
              <w:jc w:val="center"/>
              <w:rPr>
                <w:b/>
              </w:rPr>
            </w:pPr>
            <w:r w:rsidRPr="00726BE4">
              <w:rPr>
                <w:b/>
              </w:rPr>
              <w:t>Nr.</w:t>
            </w:r>
          </w:p>
        </w:tc>
        <w:tc>
          <w:tcPr>
            <w:tcW w:w="4423" w:type="dxa"/>
            <w:vAlign w:val="center"/>
          </w:tcPr>
          <w:p w:rsidR="00347DAA" w:rsidRPr="00726BE4" w:rsidRDefault="00347DAA" w:rsidP="00347DAA">
            <w:pPr>
              <w:jc w:val="center"/>
              <w:rPr>
                <w:b/>
              </w:rPr>
            </w:pPr>
            <w:r w:rsidRPr="00726BE4">
              <w:rPr>
                <w:b/>
              </w:rPr>
              <w:t>Priekšlikumi</w:t>
            </w:r>
          </w:p>
          <w:p w:rsidR="00347DAA" w:rsidRPr="00726BE4" w:rsidRDefault="00347DAA" w:rsidP="00347DAA">
            <w:pPr>
              <w:jc w:val="center"/>
              <w:rPr>
                <w:b/>
              </w:rPr>
            </w:pPr>
            <w:r w:rsidRPr="00726BE4">
              <w:rPr>
                <w:b/>
              </w:rPr>
              <w:t>(9)</w:t>
            </w:r>
          </w:p>
        </w:tc>
        <w:tc>
          <w:tcPr>
            <w:tcW w:w="1418" w:type="dxa"/>
          </w:tcPr>
          <w:p w:rsidR="00347DAA" w:rsidRDefault="00347DAA" w:rsidP="00347DAA">
            <w:r w:rsidRPr="00483DEF">
              <w:rPr>
                <w:b/>
                <w:bCs/>
                <w:iCs/>
                <w:szCs w:val="24"/>
              </w:rPr>
              <w:t>Ministru kabineta atzinums</w:t>
            </w:r>
          </w:p>
        </w:tc>
        <w:tc>
          <w:tcPr>
            <w:tcW w:w="1418" w:type="dxa"/>
            <w:vAlign w:val="center"/>
          </w:tcPr>
          <w:p w:rsidR="00347DAA" w:rsidRPr="00726BE4" w:rsidRDefault="00347DAA" w:rsidP="00347DAA">
            <w:pPr>
              <w:jc w:val="center"/>
              <w:rPr>
                <w:b/>
              </w:rPr>
            </w:pPr>
            <w:r w:rsidRPr="00726BE4">
              <w:rPr>
                <w:b/>
              </w:rPr>
              <w:t>Komisijas atzinums</w:t>
            </w:r>
          </w:p>
        </w:tc>
      </w:tr>
      <w:tr w:rsidR="00347DAA" w:rsidRPr="00726BE4" w:rsidTr="00347DAA">
        <w:tc>
          <w:tcPr>
            <w:tcW w:w="3256" w:type="dxa"/>
            <w:shd w:val="clear" w:color="auto" w:fill="auto"/>
          </w:tcPr>
          <w:p w:rsidR="00347DAA" w:rsidRPr="00726BE4" w:rsidRDefault="00347DAA" w:rsidP="00347DAA">
            <w:pPr>
              <w:ind w:firstLine="567"/>
              <w:jc w:val="both"/>
              <w:rPr>
                <w:sz w:val="22"/>
              </w:rPr>
            </w:pPr>
          </w:p>
        </w:tc>
        <w:tc>
          <w:tcPr>
            <w:tcW w:w="4423" w:type="dxa"/>
            <w:shd w:val="clear" w:color="auto" w:fill="auto"/>
          </w:tcPr>
          <w:p w:rsidR="00347DAA" w:rsidRPr="00726BE4" w:rsidRDefault="00347DAA" w:rsidP="00347DAA">
            <w:pPr>
              <w:ind w:firstLine="567"/>
              <w:jc w:val="both"/>
              <w:rPr>
                <w:rFonts w:eastAsia="Times New Roman"/>
                <w:sz w:val="22"/>
                <w:lang w:eastAsia="lv-LV"/>
              </w:rPr>
            </w:pPr>
            <w:r w:rsidRPr="00726BE4">
              <w:rPr>
                <w:sz w:val="22"/>
                <w:shd w:val="clear" w:color="auto" w:fill="FFFFFF"/>
              </w:rPr>
              <w:t>Izdarīt likumā "Par izložu un azartspēļu nodevu un nodokli</w:t>
            </w:r>
            <w:r w:rsidRPr="00726BE4">
              <w:rPr>
                <w:sz w:val="22"/>
              </w:rPr>
              <w:t>"</w:t>
            </w:r>
            <w:r w:rsidRPr="00726BE4">
              <w:rPr>
                <w:sz w:val="22"/>
                <w:shd w:val="clear" w:color="auto" w:fill="FFFFFF"/>
              </w:rPr>
              <w:t xml:space="preserve"> (Latvijas Republikas Saeimas un Ministru Kabineta Ziņotājs, 1994, 14. nr.; 1995, 22. nr.; 1997, 9. nr.; 1999, 17., 24. nr.; 2001, 15., 24. nr.; 2003, 2., 15., 20., 23. nr.; 2005, 14. nr.; 2007, 8. nr.; 2009, 14. nr.; Latvijas Vēstnesis, 2011, 65., 204. nr.; 2013, 194. nr.; 2015, 248. nr.; 2016, 241. nr.) šādus grozījumus:</w:t>
            </w:r>
          </w:p>
        </w:tc>
        <w:tc>
          <w:tcPr>
            <w:tcW w:w="567" w:type="dxa"/>
          </w:tcPr>
          <w:p w:rsidR="00347DAA" w:rsidRPr="00726BE4" w:rsidRDefault="00347DAA" w:rsidP="00347DAA">
            <w:pPr>
              <w:jc w:val="center"/>
              <w:rPr>
                <w:rFonts w:eastAsia="Times New Roman"/>
                <w:b/>
                <w:sz w:val="22"/>
                <w:lang w:eastAsia="lv-LV"/>
              </w:rPr>
            </w:pPr>
          </w:p>
        </w:tc>
        <w:tc>
          <w:tcPr>
            <w:tcW w:w="4423" w:type="dxa"/>
          </w:tcPr>
          <w:p w:rsidR="00347DAA" w:rsidRPr="00726BE4" w:rsidRDefault="00347DAA" w:rsidP="00347DAA">
            <w:pPr>
              <w:ind w:firstLine="567"/>
              <w:jc w:val="both"/>
              <w:rPr>
                <w:rFonts w:eastAsia="Times New Roman"/>
                <w:sz w:val="22"/>
                <w:lang w:eastAsia="lv-LV"/>
              </w:rPr>
            </w:pPr>
          </w:p>
        </w:tc>
        <w:tc>
          <w:tcPr>
            <w:tcW w:w="1418" w:type="dxa"/>
          </w:tcPr>
          <w:p w:rsidR="00347DAA" w:rsidRDefault="00347DAA" w:rsidP="00347DAA"/>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ind w:firstLine="567"/>
              <w:jc w:val="both"/>
              <w:rPr>
                <w:sz w:val="22"/>
              </w:rPr>
            </w:pPr>
            <w:r w:rsidRPr="00726BE4">
              <w:rPr>
                <w:b/>
                <w:bCs/>
                <w:sz w:val="22"/>
              </w:rPr>
              <w:t>1.pants.</w:t>
            </w:r>
            <w:r w:rsidRPr="00726BE4">
              <w:rPr>
                <w:sz w:val="22"/>
              </w:rPr>
              <w:t xml:space="preserve"> Izložu un azartspēļu nodokli maksā kapitālsabiedrība, kas likumā noteiktajā kārtībā saņēmusi speciālu atļauju (licenci) izložu organizēšanai vai nepieciešamās licences attiecīgo azartspēļu organizēšanai.</w:t>
            </w:r>
          </w:p>
        </w:tc>
        <w:tc>
          <w:tcPr>
            <w:tcW w:w="4423" w:type="dxa"/>
            <w:shd w:val="clear" w:color="auto" w:fill="auto"/>
          </w:tcPr>
          <w:p w:rsidR="00347DAA" w:rsidRPr="00726BE4" w:rsidRDefault="00347DAA" w:rsidP="00347DAA">
            <w:pPr>
              <w:ind w:firstLine="567"/>
              <w:jc w:val="both"/>
              <w:rPr>
                <w:sz w:val="22"/>
                <w:shd w:val="clear" w:color="auto" w:fill="FFFFFF"/>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1</w:t>
            </w: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p>
          <w:p w:rsidR="00347DAA" w:rsidRPr="00726BE4" w:rsidRDefault="00347DAA" w:rsidP="00347DAA">
            <w:pPr>
              <w:jc w:val="center"/>
              <w:rPr>
                <w:rFonts w:eastAsia="Times New Roman"/>
                <w:b/>
                <w:sz w:val="22"/>
                <w:lang w:eastAsia="lv-LV"/>
              </w:rPr>
            </w:pPr>
            <w:r w:rsidRPr="00726BE4">
              <w:rPr>
                <w:rFonts w:eastAsia="Times New Roman"/>
                <w:b/>
                <w:sz w:val="22"/>
                <w:lang w:eastAsia="lv-LV"/>
              </w:rPr>
              <w:t>2</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Frakcija “No sirds Latvijai”</w:t>
            </w:r>
          </w:p>
          <w:p w:rsidR="00347DAA" w:rsidRPr="00726BE4" w:rsidRDefault="00347DAA" w:rsidP="00347DAA">
            <w:pPr>
              <w:ind w:firstLine="567"/>
              <w:contextualSpacing/>
              <w:jc w:val="both"/>
              <w:rPr>
                <w:sz w:val="22"/>
              </w:rPr>
            </w:pPr>
            <w:r w:rsidRPr="00726BE4">
              <w:rPr>
                <w:sz w:val="22"/>
              </w:rPr>
              <w:t>Izteikt likuma 1.pantu šādā redakcijā:</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“1.pants. Izložu un azartspēļu nodokli maksā:</w:t>
            </w:r>
          </w:p>
          <w:p w:rsidR="00347DAA" w:rsidRPr="00726BE4" w:rsidRDefault="00347DAA" w:rsidP="00347DAA">
            <w:pPr>
              <w:pStyle w:val="ListParagraph"/>
              <w:numPr>
                <w:ilvl w:val="0"/>
                <w:numId w:val="2"/>
              </w:numPr>
              <w:spacing w:before="0" w:beforeAutospacing="0" w:after="0" w:afterAutospacing="0"/>
              <w:ind w:left="0" w:firstLine="567"/>
              <w:contextualSpacing/>
              <w:jc w:val="both"/>
              <w:rPr>
                <w:sz w:val="22"/>
                <w:szCs w:val="22"/>
              </w:rPr>
            </w:pPr>
            <w:r w:rsidRPr="00726BE4">
              <w:rPr>
                <w:sz w:val="22"/>
                <w:szCs w:val="22"/>
              </w:rPr>
              <w:t>kapitālsabiedrība, kas likumā noteiktajā kārtībā saņēmusi speciālu atļauju (licenci) izložu organizēšanai vai nepieciešamās licences attiecīgo azartspēļu organizēšanai;</w:t>
            </w:r>
          </w:p>
          <w:p w:rsidR="00347DAA" w:rsidRPr="00726BE4" w:rsidRDefault="00347DAA" w:rsidP="00347DAA">
            <w:pPr>
              <w:pStyle w:val="ListParagraph"/>
              <w:numPr>
                <w:ilvl w:val="0"/>
                <w:numId w:val="2"/>
              </w:numPr>
              <w:spacing w:before="0" w:beforeAutospacing="0" w:after="0" w:afterAutospacing="0"/>
              <w:ind w:left="0" w:firstLine="567"/>
              <w:contextualSpacing/>
              <w:jc w:val="both"/>
              <w:rPr>
                <w:sz w:val="22"/>
                <w:szCs w:val="22"/>
              </w:rPr>
            </w:pPr>
            <w:r w:rsidRPr="00726BE4">
              <w:rPr>
                <w:sz w:val="22"/>
                <w:szCs w:val="22"/>
              </w:rPr>
              <w:t>kapitālsabiedrība, kura nav azartspēļu organizators likuma “Azartspēļu un izložu likums” izpratnē, bet kura savā komercdarbībā izmantojot azartspēļu aprīkojumu organizē azartspēles norises tiešraides video pārraides azartspēļu organizatoriem. “</w:t>
            </w:r>
          </w:p>
          <w:p w:rsidR="00347DAA" w:rsidRPr="00726BE4" w:rsidRDefault="00347DAA" w:rsidP="00347DAA">
            <w:pPr>
              <w:ind w:firstLine="567"/>
              <w:jc w:val="both"/>
              <w:rPr>
                <w:rFonts w:eastAsia="Times New Roman"/>
                <w:b/>
                <w:sz w:val="22"/>
                <w:u w:val="single"/>
                <w:lang w:eastAsia="lv-LV"/>
              </w:rPr>
            </w:pPr>
          </w:p>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Deputāts I.Parādnieks</w:t>
            </w:r>
          </w:p>
          <w:p w:rsidR="00347DAA" w:rsidRPr="00726BE4" w:rsidRDefault="00347DAA" w:rsidP="00347DAA">
            <w:pPr>
              <w:ind w:firstLine="567"/>
              <w:jc w:val="both"/>
              <w:rPr>
                <w:sz w:val="22"/>
              </w:rPr>
            </w:pPr>
            <w:r w:rsidRPr="00726BE4">
              <w:rPr>
                <w:sz w:val="22"/>
              </w:rPr>
              <w:t xml:space="preserve">Papildināt likuma 1.pantu aiz vārdiem “attiecīgo azartspēļu organizēšanai” ar vārdiem </w:t>
            </w:r>
            <w:r w:rsidRPr="00726BE4">
              <w:rPr>
                <w:sz w:val="22"/>
              </w:rPr>
              <w:lastRenderedPageBreak/>
              <w:t>“</w:t>
            </w:r>
            <w:r w:rsidRPr="00726BE4">
              <w:rPr>
                <w:sz w:val="22"/>
                <w:u w:val="single"/>
              </w:rPr>
              <w:t>un kapitālsabiedrība, kura īsteno video filmēšanu, reālā laikā un vietā izspēlētai azartspēlei, izmantojot azartspēļu aprīkojumu – kāršu, kauliņu spēles un ruletes galdus, sniedzot programmēšanas un datu straumēšanas pakalpojumus, nodrošinot video tiešsaisti trešajām personām.</w:t>
            </w:r>
            <w:r w:rsidRPr="00726BE4">
              <w:rPr>
                <w:sz w:val="22"/>
              </w:rPr>
              <w:t>”;</w:t>
            </w:r>
          </w:p>
        </w:tc>
        <w:tc>
          <w:tcPr>
            <w:tcW w:w="1418" w:type="dxa"/>
          </w:tcPr>
          <w:p w:rsidR="00347DAA" w:rsidRDefault="00347DAA" w:rsidP="00347DAA">
            <w:pPr>
              <w:rPr>
                <w:b/>
              </w:rPr>
            </w:pPr>
            <w:r w:rsidRPr="00347DAA">
              <w:rPr>
                <w:b/>
              </w:rPr>
              <w:lastRenderedPageBreak/>
              <w:t>Neatbalsta</w:t>
            </w: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Default="00347DAA" w:rsidP="00347DAA">
            <w:pPr>
              <w:rPr>
                <w:b/>
              </w:rPr>
            </w:pPr>
          </w:p>
          <w:p w:rsidR="00347DAA" w:rsidRPr="00347DAA" w:rsidRDefault="00347DAA" w:rsidP="00347DAA">
            <w:pPr>
              <w:rPr>
                <w:b/>
              </w:rPr>
            </w:pPr>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ind w:firstLine="567"/>
              <w:jc w:val="both"/>
              <w:rPr>
                <w:rFonts w:eastAsia="Times New Roman"/>
                <w:sz w:val="22"/>
                <w:lang w:eastAsia="lv-LV"/>
              </w:rPr>
            </w:pPr>
            <w:r w:rsidRPr="00726BE4">
              <w:rPr>
                <w:rFonts w:eastAsia="Times New Roman"/>
                <w:b/>
                <w:bCs/>
                <w:sz w:val="22"/>
                <w:lang w:eastAsia="lv-LV"/>
              </w:rPr>
              <w:t>3. pants.</w:t>
            </w:r>
            <w:r w:rsidRPr="00726BE4">
              <w:rPr>
                <w:rFonts w:eastAsia="Times New Roman"/>
                <w:sz w:val="22"/>
                <w:lang w:eastAsia="lv-LV"/>
              </w:rPr>
              <w:t xml:space="preserve"> Ar azartspēļu nodokli apliekamais objekts ir azartspēļu organizētājs — kapitālsabiedrība, azartspēļu norises vieta un spēļu iekārtas. No katras iekārtotās vai uzstādītās azartspēļu tiešās norises vietas iekasējams nodoklis pēc šādām likmēm par katru kārtējo kalendāro gadu:</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 xml:space="preserve">1) rulete (cilindriskā spēle) — par katru ruletes rotējošajai iekārtai pievienoto spēļu galdu — 18 000 </w:t>
            </w:r>
            <w:r w:rsidRPr="00726BE4">
              <w:rPr>
                <w:rFonts w:eastAsia="Times New Roman"/>
                <w:i/>
                <w:iCs/>
                <w:sz w:val="22"/>
                <w:lang w:eastAsia="lv-LV"/>
              </w:rPr>
              <w:t>euro</w:t>
            </w:r>
            <w:r w:rsidRPr="00726BE4">
              <w:rPr>
                <w:rFonts w:eastAsia="Times New Roman"/>
                <w:sz w:val="22"/>
                <w:lang w:eastAsia="lv-LV"/>
              </w:rPr>
              <w:t>;</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 xml:space="preserve">2) kāršu un kauliņu spēles — par katru galdu — 18 000 </w:t>
            </w:r>
            <w:r w:rsidRPr="00726BE4">
              <w:rPr>
                <w:rFonts w:eastAsia="Times New Roman"/>
                <w:i/>
                <w:iCs/>
                <w:sz w:val="22"/>
                <w:lang w:eastAsia="lv-LV"/>
              </w:rPr>
              <w:t>euro</w:t>
            </w:r>
            <w:r w:rsidRPr="00726BE4">
              <w:rPr>
                <w:rFonts w:eastAsia="Times New Roman"/>
                <w:sz w:val="22"/>
                <w:lang w:eastAsia="lv-LV"/>
              </w:rPr>
              <w:t xml:space="preserve">; </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 xml:space="preserve">3) videospēles un mehāniskie automāti — par katra automāta katru spēles vietu — 3204 </w:t>
            </w:r>
            <w:r w:rsidRPr="00726BE4">
              <w:rPr>
                <w:rFonts w:eastAsia="Times New Roman"/>
                <w:i/>
                <w:iCs/>
                <w:sz w:val="22"/>
                <w:lang w:eastAsia="lv-LV"/>
              </w:rPr>
              <w:t>euro</w:t>
            </w:r>
            <w:r w:rsidRPr="00726BE4">
              <w:rPr>
                <w:rFonts w:eastAsia="Times New Roman"/>
                <w:sz w:val="22"/>
                <w:lang w:eastAsia="lv-LV"/>
              </w:rPr>
              <w:t>.</w:t>
            </w:r>
          </w:p>
        </w:tc>
        <w:tc>
          <w:tcPr>
            <w:tcW w:w="4423" w:type="dxa"/>
            <w:shd w:val="clear" w:color="auto" w:fill="auto"/>
          </w:tcPr>
          <w:p w:rsidR="00347DAA" w:rsidRPr="00726BE4" w:rsidRDefault="00347DAA" w:rsidP="00347DAA">
            <w:pPr>
              <w:autoSpaceDE w:val="0"/>
              <w:autoSpaceDN w:val="0"/>
              <w:adjustRightInd w:val="0"/>
              <w:ind w:firstLine="567"/>
              <w:jc w:val="both"/>
              <w:rPr>
                <w:rFonts w:eastAsia="Times New Roman"/>
                <w:sz w:val="22"/>
                <w:lang w:eastAsia="lv-LV"/>
              </w:rPr>
            </w:pPr>
            <w:r w:rsidRPr="00726BE4">
              <w:rPr>
                <w:rFonts w:eastAsia="Times New Roman"/>
                <w:sz w:val="22"/>
                <w:lang w:eastAsia="lv-LV"/>
              </w:rPr>
              <w:t>3. pantā:</w:t>
            </w:r>
          </w:p>
          <w:p w:rsidR="00347DAA" w:rsidRPr="00726BE4" w:rsidRDefault="00347DAA" w:rsidP="00347DAA">
            <w:pPr>
              <w:autoSpaceDE w:val="0"/>
              <w:autoSpaceDN w:val="0"/>
              <w:adjustRightInd w:val="0"/>
              <w:ind w:firstLine="567"/>
              <w:jc w:val="both"/>
              <w:rPr>
                <w:rFonts w:eastAsia="Times New Roman"/>
                <w:sz w:val="22"/>
                <w:lang w:eastAsia="lv-LV"/>
              </w:rPr>
            </w:pPr>
            <w:r w:rsidRPr="00726BE4">
              <w:rPr>
                <w:rFonts w:eastAsia="Times New Roman"/>
                <w:sz w:val="22"/>
                <w:lang w:eastAsia="lv-LV"/>
              </w:rPr>
              <w:t xml:space="preserve">aizstāt pirmās daļas 1. un 2. punktā skaitli "18 000" ar skaitli "23 400"; </w:t>
            </w:r>
          </w:p>
          <w:p w:rsidR="00347DAA" w:rsidRPr="00726BE4" w:rsidRDefault="00347DAA" w:rsidP="00347DAA">
            <w:pPr>
              <w:autoSpaceDE w:val="0"/>
              <w:autoSpaceDN w:val="0"/>
              <w:adjustRightInd w:val="0"/>
              <w:ind w:firstLine="567"/>
              <w:jc w:val="both"/>
              <w:rPr>
                <w:rFonts w:eastAsia="Times New Roman"/>
                <w:sz w:val="22"/>
                <w:lang w:eastAsia="lv-LV"/>
              </w:rPr>
            </w:pPr>
            <w:r w:rsidRPr="00726BE4">
              <w:rPr>
                <w:rFonts w:eastAsia="Times New Roman"/>
                <w:sz w:val="22"/>
                <w:lang w:eastAsia="lv-LV"/>
              </w:rPr>
              <w:t>aizstāt pirmās daļas 3. punktā skaitli "3204" ar skaitli "4164".</w:t>
            </w: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3</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Frakcija “No sirds Latvijai”</w:t>
            </w:r>
          </w:p>
          <w:p w:rsidR="00347DAA" w:rsidRPr="00726BE4" w:rsidRDefault="00347DAA" w:rsidP="00347DAA">
            <w:pPr>
              <w:ind w:firstLine="567"/>
              <w:jc w:val="both"/>
              <w:rPr>
                <w:rFonts w:eastAsia="Times New Roman"/>
                <w:b/>
                <w:sz w:val="22"/>
                <w:u w:val="single"/>
                <w:lang w:eastAsia="lv-LV"/>
              </w:rPr>
            </w:pPr>
            <w:r w:rsidRPr="00726BE4">
              <w:rPr>
                <w:sz w:val="22"/>
              </w:rPr>
              <w:t>Izteikt likumprojektu šādā redakcijā:</w:t>
            </w:r>
          </w:p>
          <w:p w:rsidR="00347DAA" w:rsidRPr="00726BE4" w:rsidRDefault="00347DAA" w:rsidP="00347DAA">
            <w:pPr>
              <w:ind w:firstLine="567"/>
              <w:jc w:val="both"/>
              <w:rPr>
                <w:rFonts w:eastAsia="Times New Roman"/>
                <w:b/>
                <w:sz w:val="22"/>
                <w:u w:val="single"/>
                <w:lang w:eastAsia="lv-LV"/>
              </w:rPr>
            </w:pPr>
            <w:r w:rsidRPr="00726BE4">
              <w:rPr>
                <w:rFonts w:eastAsia="Times New Roman"/>
                <w:sz w:val="22"/>
                <w:lang w:eastAsia="lv-LV"/>
              </w:rPr>
              <w:t>“3. pantā:</w:t>
            </w:r>
          </w:p>
          <w:p w:rsidR="00347DAA" w:rsidRPr="00726BE4" w:rsidRDefault="00347DAA" w:rsidP="00347DAA">
            <w:pPr>
              <w:ind w:firstLine="567"/>
              <w:jc w:val="both"/>
              <w:rPr>
                <w:rFonts w:eastAsia="Times New Roman"/>
                <w:b/>
                <w:sz w:val="22"/>
                <w:u w:val="single"/>
                <w:lang w:eastAsia="lv-LV"/>
              </w:rPr>
            </w:pPr>
            <w:r w:rsidRPr="00726BE4">
              <w:rPr>
                <w:rFonts w:eastAsia="Times New Roman"/>
                <w:sz w:val="22"/>
                <w:lang w:eastAsia="lv-LV"/>
              </w:rPr>
              <w:t>aizstāt pirmās daļas 1. un 2. punktā skaitli "23 400" ar skaitli "19 000";</w:t>
            </w:r>
          </w:p>
          <w:p w:rsidR="00347DAA" w:rsidRPr="00726BE4" w:rsidRDefault="00347DAA" w:rsidP="00347DAA">
            <w:pPr>
              <w:ind w:firstLine="567"/>
              <w:jc w:val="both"/>
              <w:rPr>
                <w:rFonts w:eastAsia="Times New Roman"/>
                <w:b/>
                <w:sz w:val="22"/>
                <w:u w:val="single"/>
                <w:lang w:eastAsia="lv-LV"/>
              </w:rPr>
            </w:pPr>
            <w:r w:rsidRPr="00726BE4">
              <w:rPr>
                <w:rFonts w:eastAsia="Times New Roman"/>
                <w:sz w:val="22"/>
                <w:lang w:eastAsia="lv-LV"/>
              </w:rPr>
              <w:t>aizstāt pirmās daļas 3. punktā skaitli "4164" ar skaitli "3400".”</w:t>
            </w:r>
            <w:r w:rsidRPr="00726BE4">
              <w:rPr>
                <w:rStyle w:val="EndnoteReference"/>
                <w:rFonts w:eastAsia="Times New Roman"/>
                <w:sz w:val="22"/>
                <w:lang w:eastAsia="lv-LV"/>
              </w:rPr>
              <w:endnoteReference w:id="1"/>
            </w:r>
          </w:p>
        </w:tc>
        <w:tc>
          <w:tcPr>
            <w:tcW w:w="1418" w:type="dxa"/>
          </w:tcPr>
          <w:p w:rsidR="00347DAA" w:rsidRDefault="00347DAA" w:rsidP="00347DAA">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ind w:firstLine="567"/>
              <w:jc w:val="both"/>
              <w:rPr>
                <w:rFonts w:eastAsia="Times New Roman"/>
                <w:sz w:val="22"/>
                <w:lang w:eastAsia="lv-LV"/>
              </w:rPr>
            </w:pPr>
          </w:p>
        </w:tc>
        <w:tc>
          <w:tcPr>
            <w:tcW w:w="4423" w:type="dxa"/>
            <w:shd w:val="clear" w:color="auto" w:fill="auto"/>
          </w:tcPr>
          <w:p w:rsidR="00347DAA" w:rsidRPr="00726BE4" w:rsidRDefault="00347DAA" w:rsidP="00347DAA">
            <w:pPr>
              <w:ind w:firstLine="567"/>
              <w:jc w:val="both"/>
              <w:rPr>
                <w:rFonts w:eastAsia="Times New Roman"/>
                <w:sz w:val="22"/>
                <w:lang w:eastAsia="lv-LV"/>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4</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Deputāts I.Parādnieks</w:t>
            </w:r>
          </w:p>
          <w:p w:rsidR="00347DAA" w:rsidRPr="00726BE4" w:rsidRDefault="00347DAA" w:rsidP="00347DAA">
            <w:pPr>
              <w:ind w:firstLine="567"/>
              <w:jc w:val="both"/>
              <w:rPr>
                <w:b/>
                <w:sz w:val="22"/>
              </w:rPr>
            </w:pPr>
            <w:r w:rsidRPr="00726BE4">
              <w:rPr>
                <w:sz w:val="22"/>
              </w:rPr>
              <w:t>Papildināt likuma 3.panta pirmo daļu ar 4.punktu šādā redakcijā:</w:t>
            </w:r>
            <w:r w:rsidRPr="00726BE4">
              <w:rPr>
                <w:b/>
                <w:sz w:val="22"/>
              </w:rPr>
              <w:t xml:space="preserve"> </w:t>
            </w:r>
          </w:p>
          <w:p w:rsidR="00347DAA" w:rsidRPr="00726BE4" w:rsidRDefault="00347DAA" w:rsidP="00347DAA">
            <w:pPr>
              <w:ind w:firstLine="567"/>
              <w:jc w:val="both"/>
              <w:rPr>
                <w:rFonts w:eastAsia="Times New Roman"/>
                <w:sz w:val="22"/>
                <w:lang w:eastAsia="lv-LV"/>
              </w:rPr>
            </w:pPr>
            <w:r w:rsidRPr="00726BE4">
              <w:rPr>
                <w:sz w:val="22"/>
              </w:rPr>
              <w:t xml:space="preserve">“4) kāršu, kauliņu spēles un ruletes (cilindriskās spēles) galdu, kas tiek izmantots azartspēļu video tiešsaistei ar trešajām personām – par katru galdu – 11 700 </w:t>
            </w:r>
            <w:r w:rsidRPr="00726BE4">
              <w:rPr>
                <w:i/>
                <w:sz w:val="22"/>
              </w:rPr>
              <w:t>euro</w:t>
            </w:r>
            <w:r w:rsidRPr="00726BE4">
              <w:rPr>
                <w:sz w:val="22"/>
              </w:rPr>
              <w:t>.”</w:t>
            </w:r>
            <w:r w:rsidRPr="00726BE4">
              <w:rPr>
                <w:rStyle w:val="EndnoteReference"/>
                <w:sz w:val="22"/>
              </w:rPr>
              <w:endnoteReference w:id="2"/>
            </w:r>
          </w:p>
        </w:tc>
        <w:tc>
          <w:tcPr>
            <w:tcW w:w="1418" w:type="dxa"/>
          </w:tcPr>
          <w:p w:rsidR="00347DAA" w:rsidRDefault="00347DAA" w:rsidP="00347DAA">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Veiksmes spēlei pa tālruni azartspēļu nodoklis ir 15 procenti no šīs spēles organizēšanas ieņēmumiem.</w:t>
            </w:r>
          </w:p>
          <w:p w:rsidR="00347DAA" w:rsidRPr="00726BE4" w:rsidRDefault="00347DAA" w:rsidP="00347DAA">
            <w:pPr>
              <w:ind w:firstLine="567"/>
              <w:jc w:val="both"/>
              <w:rPr>
                <w:rFonts w:eastAsia="Times New Roman"/>
                <w:sz w:val="22"/>
                <w:lang w:eastAsia="lv-LV"/>
              </w:rPr>
            </w:pPr>
            <w:r w:rsidRPr="00726BE4">
              <w:rPr>
                <w:rFonts w:eastAsia="Times New Roman"/>
                <w:sz w:val="22"/>
                <w:u w:val="single"/>
                <w:lang w:eastAsia="lv-LV"/>
              </w:rPr>
              <w:lastRenderedPageBreak/>
              <w:t>Azartspēļu nodoklis par totalizatoru un derībām ir 15 procenti no šīs spēles organizēšanas ieņēmumiem</w:t>
            </w:r>
            <w:r w:rsidRPr="00726BE4">
              <w:rPr>
                <w:rFonts w:eastAsia="Times New Roman"/>
                <w:sz w:val="22"/>
                <w:lang w:eastAsia="lv-LV"/>
              </w:rPr>
              <w:t>.</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Azartspēļu nodoklis par bingo ir 10 procenti no šīs spēles organizēšanas ieņēmumiem.</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Ja azartspēles organizē, izmantojot telekomunikācijas, azartspēļu nodoklis neatkarīgi no spēles veida ir 10 procenti no šīs spēles organizēšanas ieņēmumiem.</w:t>
            </w:r>
          </w:p>
        </w:tc>
        <w:tc>
          <w:tcPr>
            <w:tcW w:w="4423" w:type="dxa"/>
            <w:shd w:val="clear" w:color="auto" w:fill="auto"/>
          </w:tcPr>
          <w:p w:rsidR="00347DAA" w:rsidRPr="00726BE4" w:rsidRDefault="00347DAA" w:rsidP="00347DAA">
            <w:pPr>
              <w:ind w:firstLine="567"/>
              <w:jc w:val="both"/>
              <w:rPr>
                <w:rFonts w:eastAsia="Times New Roman"/>
                <w:sz w:val="22"/>
                <w:lang w:eastAsia="lv-LV"/>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5</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Deputāts I.Brīvers</w:t>
            </w:r>
          </w:p>
          <w:p w:rsidR="00347DAA" w:rsidRPr="00726BE4" w:rsidRDefault="00347DAA" w:rsidP="00347DAA">
            <w:pPr>
              <w:ind w:firstLine="567"/>
              <w:jc w:val="both"/>
              <w:rPr>
                <w:rFonts w:eastAsia="Times New Roman"/>
                <w:sz w:val="22"/>
                <w:lang w:eastAsia="lv-LV"/>
              </w:rPr>
            </w:pPr>
            <w:r w:rsidRPr="00726BE4">
              <w:rPr>
                <w:sz w:val="22"/>
              </w:rPr>
              <w:t xml:space="preserve">Aizstāt likuma 3. panta trešo daļu šādā redakcijā: “Azartspēļu nodoklis par totalizatoru un derībām ir 15 procenti no šīs spēles organizēšanas ieņēmumiem.” ar teikumu: </w:t>
            </w:r>
            <w:r w:rsidRPr="00726BE4">
              <w:rPr>
                <w:sz w:val="22"/>
              </w:rPr>
              <w:lastRenderedPageBreak/>
              <w:t>“</w:t>
            </w:r>
            <w:r w:rsidRPr="00726BE4">
              <w:rPr>
                <w:sz w:val="22"/>
                <w:u w:val="single"/>
              </w:rPr>
              <w:t>Azartspēļu nodoklis par totalizatoru un derībām ir 30 procenti no šīs spēles organizēšanas ieņēmumiem</w:t>
            </w:r>
            <w:r w:rsidRPr="00726BE4">
              <w:rPr>
                <w:sz w:val="22"/>
              </w:rPr>
              <w:t>.”</w:t>
            </w:r>
          </w:p>
        </w:tc>
        <w:tc>
          <w:tcPr>
            <w:tcW w:w="1418" w:type="dxa"/>
          </w:tcPr>
          <w:p w:rsidR="00347DAA" w:rsidRDefault="00347DAA" w:rsidP="00347DAA">
            <w:r w:rsidRPr="00347DAA">
              <w:rPr>
                <w:b/>
              </w:rPr>
              <w:lastRenderedPageBreak/>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ind w:firstLine="567"/>
              <w:jc w:val="both"/>
              <w:rPr>
                <w:rFonts w:eastAsia="Times New Roman"/>
                <w:sz w:val="22"/>
                <w:lang w:eastAsia="lv-LV"/>
              </w:rPr>
            </w:pPr>
          </w:p>
        </w:tc>
        <w:tc>
          <w:tcPr>
            <w:tcW w:w="4423" w:type="dxa"/>
            <w:shd w:val="clear" w:color="auto" w:fill="auto"/>
          </w:tcPr>
          <w:p w:rsidR="00347DAA" w:rsidRPr="00726BE4" w:rsidRDefault="00347DAA" w:rsidP="00347DAA">
            <w:pPr>
              <w:ind w:firstLine="567"/>
              <w:jc w:val="both"/>
              <w:rPr>
                <w:rFonts w:eastAsia="Times New Roman"/>
                <w:sz w:val="22"/>
                <w:lang w:eastAsia="lv-LV"/>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6</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Frakcija “No sirds Latvijai”</w:t>
            </w:r>
          </w:p>
          <w:p w:rsidR="00347DAA" w:rsidRPr="00726BE4" w:rsidRDefault="00347DAA" w:rsidP="00347DAA">
            <w:pPr>
              <w:ind w:firstLine="567"/>
              <w:contextualSpacing/>
              <w:jc w:val="both"/>
              <w:rPr>
                <w:sz w:val="22"/>
              </w:rPr>
            </w:pPr>
            <w:r w:rsidRPr="00726BE4">
              <w:rPr>
                <w:sz w:val="22"/>
              </w:rPr>
              <w:t>Papildināt likuma 3. pantu ar teikumu šādā redakcijā:</w:t>
            </w:r>
          </w:p>
          <w:p w:rsidR="00347DAA" w:rsidRPr="00726BE4" w:rsidRDefault="00347DAA" w:rsidP="00347DAA">
            <w:pPr>
              <w:pStyle w:val="ListParagraph"/>
              <w:spacing w:before="0" w:beforeAutospacing="0" w:after="0" w:afterAutospacing="0"/>
              <w:ind w:firstLine="567"/>
              <w:jc w:val="both"/>
              <w:rPr>
                <w:sz w:val="22"/>
                <w:szCs w:val="22"/>
              </w:rPr>
            </w:pPr>
            <w:r w:rsidRPr="00726BE4">
              <w:rPr>
                <w:sz w:val="22"/>
                <w:szCs w:val="22"/>
              </w:rPr>
              <w:t>“</w:t>
            </w:r>
            <w:bookmarkStart w:id="3" w:name="_Hlk488233230"/>
            <w:r w:rsidRPr="00726BE4">
              <w:rPr>
                <w:sz w:val="22"/>
                <w:szCs w:val="22"/>
              </w:rPr>
              <w:t>Šā likuma 1.panta 2.punktā minētās kapitālsabiedrības par katru kalendāro gadu maksā nodokli 5% apmērā no pakalpojuma ieņēmumiem.</w:t>
            </w:r>
            <w:bookmarkEnd w:id="3"/>
            <w:r w:rsidRPr="00726BE4">
              <w:rPr>
                <w:sz w:val="22"/>
                <w:szCs w:val="22"/>
              </w:rPr>
              <w:t>”</w:t>
            </w:r>
            <w:r w:rsidRPr="00726BE4">
              <w:rPr>
                <w:rStyle w:val="EndnoteReference"/>
                <w:sz w:val="22"/>
                <w:szCs w:val="22"/>
              </w:rPr>
              <w:endnoteReference w:id="3"/>
            </w:r>
          </w:p>
        </w:tc>
        <w:tc>
          <w:tcPr>
            <w:tcW w:w="1418" w:type="dxa"/>
          </w:tcPr>
          <w:p w:rsidR="00347DAA" w:rsidRDefault="00347DAA" w:rsidP="00347DAA">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ind w:firstLine="567"/>
              <w:jc w:val="both"/>
              <w:rPr>
                <w:rFonts w:eastAsia="Times New Roman"/>
                <w:noProof/>
                <w:sz w:val="22"/>
                <w:lang w:eastAsia="lv-LV"/>
              </w:rPr>
            </w:pPr>
            <w:r w:rsidRPr="00726BE4">
              <w:rPr>
                <w:rFonts w:eastAsia="Times New Roman"/>
                <w:b/>
                <w:bCs/>
                <w:sz w:val="22"/>
                <w:lang w:eastAsia="lv-LV"/>
              </w:rPr>
              <w:t>10. pants.</w:t>
            </w:r>
            <w:r w:rsidRPr="00726BE4">
              <w:rPr>
                <w:rFonts w:eastAsia="Times New Roman"/>
                <w:sz w:val="22"/>
                <w:lang w:eastAsia="lv-LV"/>
              </w:rPr>
              <w:t xml:space="preserve"> Azartspēļu nodoklis </w:t>
            </w:r>
            <w:r w:rsidRPr="00726BE4">
              <w:rPr>
                <w:rFonts w:eastAsia="Times New Roman"/>
                <w:noProof/>
                <w:sz w:val="22"/>
                <w:lang w:eastAsia="lv-LV"/>
              </w:rPr>
              <w:t>maksājams katru mēnesi kā viena divpadsmitā daļa no gada kopējās nodokļa likmes.</w:t>
            </w:r>
          </w:p>
          <w:p w:rsidR="00347DAA" w:rsidRPr="00726BE4" w:rsidRDefault="00347DAA" w:rsidP="00347DAA">
            <w:pPr>
              <w:ind w:firstLine="567"/>
              <w:jc w:val="both"/>
              <w:rPr>
                <w:rFonts w:eastAsia="Times New Roman"/>
                <w:noProof/>
                <w:sz w:val="22"/>
                <w:lang w:eastAsia="lv-LV"/>
              </w:rPr>
            </w:pPr>
            <w:r w:rsidRPr="00726BE4">
              <w:rPr>
                <w:rFonts w:eastAsia="Times New Roman"/>
                <w:noProof/>
                <w:sz w:val="22"/>
                <w:lang w:eastAsia="lv-LV"/>
              </w:rPr>
              <w:t>Azartspēļu nodoklis par veiksmes spēli pa tālruni maksājams katru mēnesi atbilstoši veiksmes spēles pa tālruni organizēšanas ieņēmumiem.</w:t>
            </w:r>
          </w:p>
          <w:p w:rsidR="00347DAA" w:rsidRPr="00726BE4" w:rsidRDefault="00347DAA" w:rsidP="00347DAA">
            <w:pPr>
              <w:ind w:firstLine="567"/>
              <w:jc w:val="both"/>
              <w:rPr>
                <w:rFonts w:eastAsia="Times New Roman"/>
                <w:noProof/>
                <w:sz w:val="22"/>
                <w:lang w:eastAsia="lv-LV"/>
              </w:rPr>
            </w:pPr>
            <w:r w:rsidRPr="00726BE4">
              <w:rPr>
                <w:rFonts w:eastAsia="Times New Roman"/>
                <w:noProof/>
                <w:sz w:val="22"/>
                <w:u w:val="single"/>
                <w:lang w:eastAsia="lv-LV"/>
              </w:rPr>
              <w:t>Azartspēļu nodoklis — 15 procenti no totalizatora vai derību organizēšanas ieņēmumiem maksājams katru mēnesi atbilstoši totalizatora vai derību organizēšanas ieņēmumiem attiecīgajā mēnesī</w:t>
            </w:r>
            <w:r w:rsidRPr="00726BE4">
              <w:rPr>
                <w:rFonts w:eastAsia="Times New Roman"/>
                <w:noProof/>
                <w:sz w:val="22"/>
                <w:lang w:eastAsia="lv-LV"/>
              </w:rPr>
              <w:t>.</w:t>
            </w:r>
          </w:p>
          <w:p w:rsidR="00347DAA" w:rsidRPr="00726BE4" w:rsidRDefault="00347DAA" w:rsidP="00347DAA">
            <w:pPr>
              <w:ind w:firstLine="567"/>
              <w:jc w:val="both"/>
              <w:rPr>
                <w:rFonts w:eastAsia="Times New Roman"/>
                <w:noProof/>
                <w:sz w:val="22"/>
                <w:lang w:eastAsia="lv-LV"/>
              </w:rPr>
            </w:pPr>
            <w:r w:rsidRPr="00726BE4">
              <w:rPr>
                <w:rFonts w:eastAsia="Times New Roman"/>
                <w:noProof/>
                <w:sz w:val="22"/>
                <w:lang w:eastAsia="lv-LV"/>
              </w:rPr>
              <w:t xml:space="preserve">Azartspēļu nodoklis par azartspēlēm, kuras organizē, izmantojot telekomunikācijas, </w:t>
            </w:r>
            <w:r w:rsidRPr="00726BE4">
              <w:rPr>
                <w:rFonts w:eastAsia="Times New Roman"/>
                <w:noProof/>
                <w:sz w:val="22"/>
                <w:lang w:eastAsia="lv-LV"/>
              </w:rPr>
              <w:lastRenderedPageBreak/>
              <w:t>maksājams katru mēnesi no šā mēneša azartspēļu organizēšanas ieņēmumiem.</w:t>
            </w:r>
          </w:p>
          <w:p w:rsidR="00347DAA" w:rsidRPr="00726BE4" w:rsidRDefault="00347DAA" w:rsidP="00347DAA">
            <w:pPr>
              <w:ind w:firstLine="567"/>
              <w:jc w:val="both"/>
              <w:rPr>
                <w:rFonts w:eastAsia="Times New Roman"/>
                <w:noProof/>
                <w:sz w:val="22"/>
                <w:lang w:eastAsia="lv-LV"/>
              </w:rPr>
            </w:pPr>
            <w:r w:rsidRPr="00726BE4">
              <w:rPr>
                <w:rFonts w:eastAsia="Times New Roman"/>
                <w:noProof/>
                <w:sz w:val="22"/>
                <w:lang w:eastAsia="lv-LV"/>
              </w:rPr>
              <w:t>Izložu nodoklis maksājams katru mēnesi atbilstoši biļešu realizācijas ieņēmumiem.</w:t>
            </w:r>
          </w:p>
          <w:p w:rsidR="00347DAA" w:rsidRPr="00726BE4" w:rsidRDefault="00347DAA" w:rsidP="00347DAA">
            <w:pPr>
              <w:ind w:firstLine="567"/>
              <w:jc w:val="both"/>
              <w:rPr>
                <w:rFonts w:eastAsia="Times New Roman"/>
                <w:noProof/>
                <w:sz w:val="22"/>
                <w:lang w:eastAsia="lv-LV"/>
              </w:rPr>
            </w:pPr>
            <w:r w:rsidRPr="00726BE4">
              <w:rPr>
                <w:rFonts w:eastAsia="Times New Roman"/>
                <w:noProof/>
                <w:sz w:val="22"/>
                <w:lang w:eastAsia="lv-LV"/>
              </w:rPr>
              <w:t>Izložu un azartspēļu nodokli maksā par iepriekšējo mēnesi līdz nākamā mēneša 15.datumam (ieskaitot).</w:t>
            </w:r>
          </w:p>
          <w:p w:rsidR="00347DAA" w:rsidRPr="00726BE4" w:rsidRDefault="00347DAA" w:rsidP="00347DAA">
            <w:pPr>
              <w:ind w:firstLine="567"/>
              <w:jc w:val="both"/>
              <w:rPr>
                <w:rFonts w:eastAsia="Times New Roman"/>
                <w:noProof/>
                <w:sz w:val="22"/>
                <w:lang w:eastAsia="lv-LV"/>
              </w:rPr>
            </w:pPr>
            <w:r w:rsidRPr="00726BE4">
              <w:rPr>
                <w:rFonts w:eastAsia="Times New Roman"/>
                <w:noProof/>
                <w:sz w:val="22"/>
                <w:lang w:eastAsia="lv-LV"/>
              </w:rPr>
              <w:t>Izložu un azartspēļu organizētāji 15 dienu laikā pēc ceturkšņa beigām iesniedz Valsts ieņēmumu dienestam izložu un azartspēļu nodokļa pārskatu par aprēķināto izložu un azartspēļu nodokli pārskata ceturksnī. Pārskata veidlapas un iesniegšanas kārtību apstiprina Ministru kabinets.</w:t>
            </w:r>
          </w:p>
          <w:p w:rsidR="00347DAA" w:rsidRPr="00726BE4" w:rsidRDefault="00347DAA" w:rsidP="00347DAA">
            <w:pPr>
              <w:ind w:firstLine="567"/>
              <w:jc w:val="both"/>
              <w:rPr>
                <w:rFonts w:eastAsia="Times New Roman"/>
                <w:sz w:val="22"/>
                <w:lang w:eastAsia="lv-LV"/>
              </w:rPr>
            </w:pPr>
            <w:r w:rsidRPr="00726BE4">
              <w:rPr>
                <w:rFonts w:eastAsia="Times New Roman"/>
                <w:noProof/>
                <w:sz w:val="22"/>
                <w:lang w:eastAsia="lv-LV"/>
              </w:rPr>
              <w:t>Azartspēļu nodoklis par bingo maksājams katru mēnesi atbilstoši bingo organizēšanas ieņēmumiem.</w:t>
            </w:r>
          </w:p>
        </w:tc>
        <w:tc>
          <w:tcPr>
            <w:tcW w:w="4423" w:type="dxa"/>
            <w:shd w:val="clear" w:color="auto" w:fill="auto"/>
          </w:tcPr>
          <w:p w:rsidR="00347DAA" w:rsidRPr="00726BE4" w:rsidRDefault="00347DAA" w:rsidP="00347DAA">
            <w:pPr>
              <w:ind w:firstLine="567"/>
              <w:jc w:val="both"/>
              <w:rPr>
                <w:rFonts w:eastAsia="Times New Roman"/>
                <w:sz w:val="22"/>
                <w:lang w:eastAsia="lv-LV"/>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7</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Deputāts I.Brīvers</w:t>
            </w:r>
          </w:p>
          <w:p w:rsidR="00347DAA" w:rsidRPr="00726BE4" w:rsidRDefault="00347DAA" w:rsidP="00347DAA">
            <w:pPr>
              <w:ind w:firstLine="567"/>
              <w:jc w:val="both"/>
              <w:rPr>
                <w:rFonts w:eastAsia="Times New Roman"/>
                <w:sz w:val="22"/>
                <w:lang w:eastAsia="lv-LV"/>
              </w:rPr>
            </w:pPr>
            <w:r w:rsidRPr="00726BE4">
              <w:rPr>
                <w:sz w:val="22"/>
              </w:rPr>
              <w:t xml:space="preserve">Aizstāt likuma 10. panta trešo daļu šādā redakcijā: “Azartspēļu nodoklis — 15 procenti </w:t>
            </w:r>
            <w:r w:rsidRPr="00726BE4">
              <w:rPr>
                <w:noProof/>
                <w:sz w:val="22"/>
              </w:rPr>
              <w:t>no totalizatora vai derību organizēšanas ieņēmumiem maksājams katru mēnesi atbilstoši totalizatora vai derību organizēšanas ieņēmumiem attiecīgajā mēnesī” ar</w:t>
            </w:r>
            <w:r w:rsidRPr="00726BE4">
              <w:rPr>
                <w:sz w:val="22"/>
              </w:rPr>
              <w:t xml:space="preserve"> teikumu: “</w:t>
            </w:r>
            <w:r w:rsidRPr="00726BE4">
              <w:rPr>
                <w:noProof/>
                <w:sz w:val="22"/>
                <w:u w:val="single"/>
              </w:rPr>
              <w:t>Azartspēļu nodoklis — 30 procenti no totalizatora vai derību organizēšanas ieņēmumiem maksājams katru mēnesi atbilstoši totalizatora vai derību organizēšanas ieņēmumiem attiecīgajā mēnesī</w:t>
            </w:r>
            <w:r w:rsidRPr="00726BE4">
              <w:rPr>
                <w:sz w:val="22"/>
              </w:rPr>
              <w:t>.”</w:t>
            </w:r>
          </w:p>
        </w:tc>
        <w:tc>
          <w:tcPr>
            <w:tcW w:w="1418" w:type="dxa"/>
          </w:tcPr>
          <w:p w:rsidR="00347DAA" w:rsidRDefault="00347DAA" w:rsidP="00347DAA">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1D72F6" w:rsidRDefault="00347DAA" w:rsidP="00347DAA">
            <w:pPr>
              <w:ind w:firstLine="567"/>
              <w:jc w:val="both"/>
              <w:rPr>
                <w:rFonts w:eastAsia="Times New Roman"/>
                <w:sz w:val="22"/>
                <w:lang w:eastAsia="lv-LV"/>
              </w:rPr>
            </w:pPr>
            <w:r w:rsidRPr="001D72F6">
              <w:rPr>
                <w:rFonts w:eastAsia="Times New Roman"/>
                <w:b/>
                <w:bCs/>
                <w:sz w:val="22"/>
                <w:lang w:eastAsia="lv-LV"/>
              </w:rPr>
              <w:t>12. pants.</w:t>
            </w:r>
            <w:r w:rsidRPr="001D72F6">
              <w:rPr>
                <w:rFonts w:eastAsia="Times New Roman"/>
                <w:sz w:val="22"/>
                <w:lang w:eastAsia="lv-LV"/>
              </w:rPr>
              <w:t xml:space="preserve"> Ienākumi no izložu un azartspēļu nodevas [maksa par attiecīgo licenci] tiek ieskaitīti valsts pamatbudžetā.</w:t>
            </w:r>
          </w:p>
          <w:p w:rsidR="00347DAA" w:rsidRPr="001D72F6" w:rsidRDefault="00347DAA" w:rsidP="00347DAA">
            <w:pPr>
              <w:ind w:firstLine="567"/>
              <w:jc w:val="both"/>
              <w:rPr>
                <w:rFonts w:eastAsia="Times New Roman"/>
                <w:sz w:val="22"/>
                <w:lang w:eastAsia="lv-LV"/>
              </w:rPr>
            </w:pPr>
            <w:r w:rsidRPr="001D72F6">
              <w:rPr>
                <w:rFonts w:eastAsia="Times New Roman"/>
                <w:sz w:val="22"/>
                <w:lang w:eastAsia="lv-LV"/>
              </w:rPr>
              <w:t>Ienākumi no azartspēļu nodokļa 75 procentu apmērā ieskaitāmi valsts pamatbudžetā, bet 25 procentu apmērā — tās pašvaldības budžetā, kuras teritorijā tiek organizēta azartspēle.</w:t>
            </w:r>
          </w:p>
          <w:p w:rsidR="00347DAA" w:rsidRPr="001D72F6" w:rsidRDefault="00347DAA" w:rsidP="00347DAA">
            <w:pPr>
              <w:ind w:firstLine="567"/>
              <w:jc w:val="both"/>
              <w:rPr>
                <w:rFonts w:eastAsia="Times New Roman"/>
                <w:sz w:val="22"/>
                <w:lang w:eastAsia="lv-LV"/>
              </w:rPr>
            </w:pPr>
            <w:r w:rsidRPr="001D72F6">
              <w:rPr>
                <w:rFonts w:eastAsia="Times New Roman"/>
                <w:sz w:val="22"/>
                <w:lang w:eastAsia="lv-LV"/>
              </w:rPr>
              <w:t xml:space="preserve">Ienākumi no valsts mēroga izložu nodokļa ieskaitāmi valsts pamatbudžetā, bet no vietējā mēroga izložu nodokļa — tās </w:t>
            </w:r>
            <w:r w:rsidRPr="001D72F6">
              <w:rPr>
                <w:rFonts w:eastAsia="Times New Roman"/>
                <w:sz w:val="22"/>
                <w:lang w:eastAsia="lv-LV"/>
              </w:rPr>
              <w:lastRenderedPageBreak/>
              <w:t>pašvaldības budžetā, kuras teritorijā tiek organizēta izloze.</w:t>
            </w:r>
          </w:p>
          <w:p w:rsidR="00347DAA" w:rsidRPr="00726BE4" w:rsidRDefault="00347DAA" w:rsidP="00347DAA">
            <w:pPr>
              <w:pStyle w:val="labojumupamats"/>
              <w:spacing w:before="0" w:beforeAutospacing="0" w:after="0" w:afterAutospacing="0"/>
              <w:ind w:firstLine="567"/>
              <w:jc w:val="both"/>
              <w:rPr>
                <w:i/>
                <w:sz w:val="20"/>
                <w:szCs w:val="20"/>
              </w:rPr>
            </w:pPr>
          </w:p>
        </w:tc>
        <w:tc>
          <w:tcPr>
            <w:tcW w:w="4423" w:type="dxa"/>
            <w:shd w:val="clear" w:color="auto" w:fill="auto"/>
          </w:tcPr>
          <w:p w:rsidR="00347DAA" w:rsidRPr="00726BE4" w:rsidRDefault="00347DAA" w:rsidP="00347DAA">
            <w:pPr>
              <w:ind w:firstLine="567"/>
              <w:jc w:val="both"/>
              <w:rPr>
                <w:rFonts w:eastAsia="Times New Roman"/>
                <w:sz w:val="22"/>
                <w:shd w:val="clear" w:color="auto" w:fill="FFFFFF"/>
                <w:lang w:eastAsia="lv-LV"/>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8</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Frakcija “No sirds Latvijai”</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Izteikt likuma 12. panta otro un trešo daļu šādā redakcijā:</w:t>
            </w:r>
          </w:p>
          <w:p w:rsidR="00347DAA" w:rsidRPr="00726BE4" w:rsidRDefault="00347DAA" w:rsidP="00347DAA">
            <w:pPr>
              <w:pStyle w:val="tv213"/>
              <w:spacing w:before="0" w:beforeAutospacing="0" w:after="0" w:afterAutospacing="0"/>
              <w:ind w:firstLine="567"/>
              <w:jc w:val="both"/>
              <w:rPr>
                <w:sz w:val="22"/>
                <w:szCs w:val="22"/>
              </w:rPr>
            </w:pPr>
            <w:r w:rsidRPr="00726BE4">
              <w:rPr>
                <w:sz w:val="22"/>
                <w:szCs w:val="22"/>
              </w:rPr>
              <w:t xml:space="preserve">“Ienākumi no azartspēļu nodokļa 75 procentu apmērā ieskaitāmi valsts pamatbudžetā, </w:t>
            </w:r>
            <w:r w:rsidRPr="00726BE4">
              <w:rPr>
                <w:sz w:val="22"/>
                <w:szCs w:val="22"/>
                <w:u w:val="single"/>
              </w:rPr>
              <w:t>tajā skaitā 50 procentus novirzot Valsts kultūrkapitāla fonda finansēšanai</w:t>
            </w:r>
            <w:r w:rsidRPr="00726BE4">
              <w:rPr>
                <w:sz w:val="22"/>
                <w:szCs w:val="22"/>
              </w:rPr>
              <w:t>, bet 25 procentu apmērā — tās pašvaldības budžetā, kuras teritorijā tiek organizēta azartspēle.</w:t>
            </w:r>
          </w:p>
          <w:p w:rsidR="00347DAA" w:rsidRPr="00726BE4" w:rsidRDefault="00347DAA" w:rsidP="00347DAA">
            <w:pPr>
              <w:pStyle w:val="tv213"/>
              <w:spacing w:before="0" w:beforeAutospacing="0" w:after="0" w:afterAutospacing="0"/>
              <w:ind w:firstLine="567"/>
              <w:jc w:val="both"/>
              <w:rPr>
                <w:sz w:val="22"/>
                <w:szCs w:val="22"/>
              </w:rPr>
            </w:pPr>
            <w:r w:rsidRPr="00726BE4">
              <w:rPr>
                <w:sz w:val="22"/>
                <w:szCs w:val="22"/>
              </w:rPr>
              <w:t xml:space="preserve">Ienākumi no valsts mēroga izložu nodokļa ieskaitāmi valsts pamatbudžetā </w:t>
            </w:r>
            <w:r w:rsidRPr="00726BE4">
              <w:rPr>
                <w:sz w:val="22"/>
                <w:szCs w:val="22"/>
                <w:u w:val="single"/>
              </w:rPr>
              <w:t>tajā skaitā 50 procentus novirzot Valsts kultūrkapitāla fonda finansēšanai</w:t>
            </w:r>
            <w:r w:rsidRPr="00726BE4">
              <w:rPr>
                <w:sz w:val="22"/>
                <w:szCs w:val="22"/>
              </w:rPr>
              <w:t>, bet no vietējā mēroga izložu nodokļa — tās pašvaldības budžetā, kuras teritorijā tiek organizēta izloze.”</w:t>
            </w:r>
          </w:p>
        </w:tc>
        <w:tc>
          <w:tcPr>
            <w:tcW w:w="1418" w:type="dxa"/>
          </w:tcPr>
          <w:p w:rsidR="00347DAA" w:rsidRDefault="00347DAA" w:rsidP="00347DAA">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pStyle w:val="labojumupamats"/>
              <w:spacing w:before="0" w:beforeAutospacing="0" w:after="0" w:afterAutospacing="0"/>
              <w:ind w:firstLine="567"/>
              <w:jc w:val="both"/>
              <w:rPr>
                <w:b/>
                <w:sz w:val="22"/>
                <w:szCs w:val="22"/>
              </w:rPr>
            </w:pPr>
            <w:r w:rsidRPr="00726BE4">
              <w:rPr>
                <w:b/>
                <w:sz w:val="22"/>
                <w:szCs w:val="22"/>
              </w:rPr>
              <w:t>Pārejas noteikumi</w:t>
            </w:r>
          </w:p>
          <w:p w:rsidR="00347DAA" w:rsidRPr="00726BE4" w:rsidRDefault="00347DAA" w:rsidP="00347DAA">
            <w:pPr>
              <w:pStyle w:val="labojumupamats"/>
              <w:spacing w:before="0" w:beforeAutospacing="0" w:after="0" w:afterAutospacing="0"/>
              <w:ind w:firstLine="567"/>
              <w:jc w:val="both"/>
              <w:rPr>
                <w:b/>
                <w:sz w:val="22"/>
                <w:szCs w:val="22"/>
              </w:rPr>
            </w:pPr>
            <w:r w:rsidRPr="00726BE4">
              <w:rPr>
                <w:sz w:val="22"/>
                <w:szCs w:val="22"/>
              </w:rPr>
              <w:t>14. Azartspēļu organizētājs, kas līdz 2015.gada 31.decembrim ir saņēmis totalizatora vai derību likmju pieņemšanas vietas licenci, sākot ar 2016.gadu, veicot Azartspēļu un izložu likumā noteiktajā kārtībā šīs licences ikgadējo pārreģistrāciju, maksā azartspēļu nodevu par azartspēļu organizēšanas vietas (totalizatora vai derību likmju pieņemšanas vietas) licences pārreģistrāciju šā likuma 2.pantā noteiktajā apmērā un kārtībā.</w:t>
            </w:r>
          </w:p>
        </w:tc>
        <w:tc>
          <w:tcPr>
            <w:tcW w:w="4423" w:type="dxa"/>
            <w:shd w:val="clear" w:color="auto" w:fill="auto"/>
          </w:tcPr>
          <w:p w:rsidR="00347DAA" w:rsidRPr="00726BE4" w:rsidRDefault="00347DAA" w:rsidP="00347DAA">
            <w:pPr>
              <w:ind w:firstLine="567"/>
              <w:jc w:val="both"/>
              <w:rPr>
                <w:rFonts w:eastAsia="Times New Roman"/>
                <w:sz w:val="22"/>
                <w:shd w:val="clear" w:color="auto" w:fill="FFFFFF"/>
                <w:lang w:eastAsia="lv-LV"/>
              </w:rPr>
            </w:pPr>
          </w:p>
        </w:tc>
        <w:tc>
          <w:tcPr>
            <w:tcW w:w="567" w:type="dxa"/>
          </w:tcPr>
          <w:p w:rsidR="00347DAA" w:rsidRPr="00726BE4" w:rsidRDefault="00347DAA" w:rsidP="00347DAA">
            <w:pPr>
              <w:jc w:val="center"/>
              <w:rPr>
                <w:rFonts w:eastAsia="Times New Roman"/>
                <w:b/>
                <w:sz w:val="22"/>
                <w:lang w:eastAsia="lv-LV"/>
              </w:rPr>
            </w:pPr>
            <w:r w:rsidRPr="00726BE4">
              <w:rPr>
                <w:rFonts w:eastAsia="Times New Roman"/>
                <w:b/>
                <w:sz w:val="22"/>
                <w:lang w:eastAsia="lv-LV"/>
              </w:rPr>
              <w:t>9</w:t>
            </w:r>
          </w:p>
        </w:tc>
        <w:tc>
          <w:tcPr>
            <w:tcW w:w="4423" w:type="dxa"/>
          </w:tcPr>
          <w:p w:rsidR="00347DAA" w:rsidRPr="00726BE4" w:rsidRDefault="00347DAA" w:rsidP="00347DAA">
            <w:pPr>
              <w:ind w:firstLine="567"/>
              <w:jc w:val="both"/>
              <w:rPr>
                <w:rFonts w:eastAsia="Times New Roman"/>
                <w:b/>
                <w:sz w:val="22"/>
                <w:u w:val="single"/>
                <w:lang w:eastAsia="lv-LV"/>
              </w:rPr>
            </w:pPr>
            <w:r w:rsidRPr="00726BE4">
              <w:rPr>
                <w:rFonts w:eastAsia="Times New Roman"/>
                <w:b/>
                <w:sz w:val="22"/>
                <w:u w:val="single"/>
                <w:lang w:eastAsia="lv-LV"/>
              </w:rPr>
              <w:t>Frakcija “No sirds Latvijai”</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Papildināt Pārejas noteikumus ar 15. un 16. punktu, kurus izteikt šādā redakcijā:</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“15. Grozījumi šā likuma 12.panta otrajā un trešajā daļā stājas spēkā ar 2023.gada 1. janvāri.</w:t>
            </w:r>
          </w:p>
          <w:p w:rsidR="00347DAA" w:rsidRPr="00726BE4" w:rsidRDefault="00347DAA" w:rsidP="00347DAA">
            <w:pPr>
              <w:ind w:firstLine="567"/>
              <w:jc w:val="both"/>
              <w:rPr>
                <w:rFonts w:eastAsia="Times New Roman"/>
                <w:sz w:val="22"/>
                <w:lang w:eastAsia="lv-LV"/>
              </w:rPr>
            </w:pPr>
            <w:r w:rsidRPr="00726BE4">
              <w:rPr>
                <w:rFonts w:eastAsia="Times New Roman"/>
                <w:sz w:val="22"/>
                <w:lang w:eastAsia="lv-LV"/>
              </w:rPr>
              <w:t>16. Ienākumus no valsts  pamatbudžetā ieskaitītā azartspēļu nodokļa un izložu nodokļa Valsts kultūrkapitāla fonda finansēšanai novirza: 2020.gadā - 30 procentus, 2021. gadā – 35 procentus un 2022.gadā - 40 procentus.”</w:t>
            </w:r>
            <w:r w:rsidRPr="00726BE4">
              <w:rPr>
                <w:rStyle w:val="EndnoteReference"/>
                <w:rFonts w:eastAsia="Times New Roman"/>
                <w:sz w:val="22"/>
                <w:lang w:eastAsia="lv-LV"/>
              </w:rPr>
              <w:endnoteReference w:id="4"/>
            </w:r>
          </w:p>
        </w:tc>
        <w:tc>
          <w:tcPr>
            <w:tcW w:w="1418" w:type="dxa"/>
          </w:tcPr>
          <w:p w:rsidR="00347DAA" w:rsidRDefault="00347DAA" w:rsidP="00347DAA">
            <w:r w:rsidRPr="00347DAA">
              <w:rPr>
                <w:b/>
              </w:rPr>
              <w:t>Neatbalsta</w:t>
            </w:r>
          </w:p>
        </w:tc>
        <w:tc>
          <w:tcPr>
            <w:tcW w:w="1418" w:type="dxa"/>
          </w:tcPr>
          <w:p w:rsidR="00347DAA" w:rsidRPr="00726BE4" w:rsidRDefault="00347DAA" w:rsidP="00347DAA">
            <w:pPr>
              <w:ind w:firstLine="567"/>
              <w:jc w:val="both"/>
              <w:rPr>
                <w:rFonts w:eastAsia="Times New Roman"/>
                <w:sz w:val="22"/>
                <w:lang w:eastAsia="lv-LV"/>
              </w:rPr>
            </w:pPr>
          </w:p>
        </w:tc>
      </w:tr>
      <w:tr w:rsidR="00347DAA" w:rsidRPr="00726BE4" w:rsidTr="00347DAA">
        <w:tc>
          <w:tcPr>
            <w:tcW w:w="3256" w:type="dxa"/>
            <w:shd w:val="clear" w:color="auto" w:fill="auto"/>
          </w:tcPr>
          <w:p w:rsidR="00347DAA" w:rsidRPr="00726BE4" w:rsidRDefault="00347DAA" w:rsidP="00347DAA">
            <w:pPr>
              <w:pStyle w:val="labojumupamats"/>
              <w:spacing w:before="0" w:beforeAutospacing="0" w:after="0" w:afterAutospacing="0"/>
              <w:ind w:firstLine="567"/>
              <w:jc w:val="both"/>
              <w:rPr>
                <w:i/>
                <w:sz w:val="20"/>
                <w:szCs w:val="20"/>
              </w:rPr>
            </w:pPr>
          </w:p>
        </w:tc>
        <w:tc>
          <w:tcPr>
            <w:tcW w:w="4423" w:type="dxa"/>
            <w:shd w:val="clear" w:color="auto" w:fill="auto"/>
          </w:tcPr>
          <w:p w:rsidR="00347DAA" w:rsidRPr="00726BE4" w:rsidRDefault="00347DAA" w:rsidP="00347DAA">
            <w:pPr>
              <w:ind w:firstLine="567"/>
              <w:jc w:val="both"/>
              <w:rPr>
                <w:rFonts w:eastAsia="Times New Roman"/>
                <w:sz w:val="22"/>
                <w:lang w:eastAsia="lv-LV"/>
              </w:rPr>
            </w:pPr>
            <w:r w:rsidRPr="00726BE4">
              <w:rPr>
                <w:rFonts w:eastAsia="Times New Roman"/>
                <w:sz w:val="22"/>
                <w:shd w:val="clear" w:color="auto" w:fill="FFFFFF"/>
                <w:lang w:eastAsia="lv-LV"/>
              </w:rPr>
              <w:t>Likums stājas spēkā 2018. gada 1. janvārī.</w:t>
            </w:r>
          </w:p>
        </w:tc>
        <w:tc>
          <w:tcPr>
            <w:tcW w:w="567" w:type="dxa"/>
          </w:tcPr>
          <w:p w:rsidR="00347DAA" w:rsidRPr="00726BE4" w:rsidRDefault="00347DAA" w:rsidP="00347DAA">
            <w:pPr>
              <w:jc w:val="center"/>
              <w:rPr>
                <w:rFonts w:eastAsia="Times New Roman"/>
                <w:b/>
                <w:sz w:val="22"/>
                <w:lang w:eastAsia="lv-LV"/>
              </w:rPr>
            </w:pPr>
          </w:p>
        </w:tc>
        <w:tc>
          <w:tcPr>
            <w:tcW w:w="4423" w:type="dxa"/>
          </w:tcPr>
          <w:p w:rsidR="00347DAA" w:rsidRPr="00726BE4" w:rsidRDefault="00347DAA" w:rsidP="00347DAA">
            <w:pPr>
              <w:ind w:firstLine="567"/>
              <w:jc w:val="both"/>
              <w:rPr>
                <w:rFonts w:eastAsia="Times New Roman"/>
                <w:sz w:val="22"/>
                <w:lang w:eastAsia="lv-LV"/>
              </w:rPr>
            </w:pPr>
          </w:p>
        </w:tc>
        <w:tc>
          <w:tcPr>
            <w:tcW w:w="1418" w:type="dxa"/>
          </w:tcPr>
          <w:p w:rsidR="00347DAA" w:rsidRDefault="00347DAA" w:rsidP="00347DAA"/>
        </w:tc>
        <w:tc>
          <w:tcPr>
            <w:tcW w:w="1418" w:type="dxa"/>
          </w:tcPr>
          <w:p w:rsidR="00347DAA" w:rsidRPr="00726BE4" w:rsidRDefault="00347DAA" w:rsidP="00347DAA">
            <w:pPr>
              <w:ind w:firstLine="567"/>
              <w:jc w:val="both"/>
              <w:rPr>
                <w:rFonts w:eastAsia="Times New Roman"/>
                <w:sz w:val="22"/>
                <w:lang w:eastAsia="lv-LV"/>
              </w:rPr>
            </w:pPr>
          </w:p>
        </w:tc>
      </w:tr>
      <w:bookmarkEnd w:id="0"/>
      <w:bookmarkEnd w:id="1"/>
    </w:tbl>
    <w:p w:rsidR="00DC49D3" w:rsidRPr="00726BE4" w:rsidRDefault="00DC49D3" w:rsidP="0017232B"/>
    <w:sectPr w:rsidR="00DC49D3" w:rsidRPr="00726BE4" w:rsidSect="00DC49D3">
      <w:footerReference w:type="even" r:id="rId8"/>
      <w:footerReference w:type="default" r:id="rId9"/>
      <w:footerReference w:type="first" r:id="rId10"/>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B5" w:rsidRDefault="00B304B5">
      <w:r>
        <w:separator/>
      </w:r>
    </w:p>
  </w:endnote>
  <w:endnote w:type="continuationSeparator" w:id="0">
    <w:p w:rsidR="00B304B5" w:rsidRDefault="00B304B5">
      <w:r>
        <w:continuationSeparator/>
      </w:r>
    </w:p>
  </w:endnote>
  <w:endnote w:id="1">
    <w:p w:rsidR="00347DAA" w:rsidRPr="0017232B" w:rsidRDefault="00347DAA" w:rsidP="00347DAA">
      <w:pPr>
        <w:ind w:firstLine="567"/>
        <w:jc w:val="both"/>
        <w:rPr>
          <w:rFonts w:eastAsia="Times New Roman"/>
          <w:b/>
          <w:sz w:val="20"/>
          <w:szCs w:val="20"/>
          <w:u w:val="single"/>
          <w:lang w:eastAsia="lv-LV"/>
        </w:rPr>
      </w:pPr>
      <w:r w:rsidRPr="0017232B">
        <w:rPr>
          <w:rFonts w:eastAsia="Times New Roman"/>
          <w:b/>
          <w:sz w:val="20"/>
          <w:szCs w:val="20"/>
          <w:u w:val="single"/>
          <w:lang w:eastAsia="lv-LV"/>
        </w:rPr>
        <w:t>Frakcija “No sirds Latvijai”</w:t>
      </w:r>
      <w:r w:rsidRPr="0017232B">
        <w:rPr>
          <w:rStyle w:val="EndnoteReference"/>
          <w:sz w:val="20"/>
          <w:szCs w:val="20"/>
        </w:rPr>
        <w:endnoteRef/>
      </w:r>
      <w:r w:rsidRPr="0017232B">
        <w:rPr>
          <w:sz w:val="20"/>
          <w:szCs w:val="20"/>
        </w:rPr>
        <w:t xml:space="preserve"> </w:t>
      </w:r>
    </w:p>
    <w:p w:rsidR="00347DAA" w:rsidRPr="0017232B" w:rsidRDefault="00347DAA" w:rsidP="00347DAA">
      <w:pPr>
        <w:ind w:firstLine="567"/>
        <w:jc w:val="both"/>
        <w:rPr>
          <w:rFonts w:eastAsia="Times New Roman"/>
          <w:i/>
          <w:sz w:val="20"/>
          <w:szCs w:val="20"/>
          <w:u w:val="single"/>
          <w:lang w:eastAsia="lv-LV"/>
        </w:rPr>
      </w:pPr>
      <w:r w:rsidRPr="0017232B">
        <w:rPr>
          <w:rFonts w:eastAsia="Times New Roman"/>
          <w:i/>
          <w:sz w:val="20"/>
          <w:szCs w:val="20"/>
          <w:u w:val="single"/>
          <w:lang w:eastAsia="lv-LV"/>
        </w:rPr>
        <w:t>Pamatojums</w:t>
      </w:r>
    </w:p>
    <w:p w:rsidR="00347DAA" w:rsidRPr="0017232B" w:rsidRDefault="00347DAA" w:rsidP="00347DAA">
      <w:pPr>
        <w:ind w:firstLine="567"/>
        <w:jc w:val="both"/>
        <w:rPr>
          <w:rFonts w:eastAsia="Times New Roman"/>
          <w:i/>
          <w:sz w:val="20"/>
          <w:szCs w:val="20"/>
          <w:lang w:eastAsia="lv-LV"/>
        </w:rPr>
      </w:pPr>
      <w:r w:rsidRPr="0017232B">
        <w:rPr>
          <w:i/>
          <w:sz w:val="20"/>
          <w:szCs w:val="20"/>
        </w:rPr>
        <w:t xml:space="preserve">Ministru kabineta 2010. gada 26. augusta rīkojumā Nr.513 apstiprinātā "Pasākumu plāna ēnu ekonomikas apkarošanai un godīgas konkurences nodrošināšanai 2010. – 2013. gadam" 46.punktā noteikts, ka tiek ieviesta Vienotā azartspēļu automātu kontroles un uzraudzības sistēma (AKUS) pie nosacījuma, ja inspekcijai un azartspēļu organizētājiem ir pietiekoši finanšu līdzekļi AKUS ieviešanai. Tika noteikts piecu gadu termiņš AKUS ieviešanai pēc Ministru kabineta noteikumu par AKUS ieviešanas un uzturēšanas kārtību pieņemšanas. MK noteikumi pieņemti 2016.gada 20. decembrī, ievērojot tiesiskās paļāvības principu tik krasa nodokļu paaugstināšana ir nekorekta pret uzņēmējiem. </w:t>
      </w:r>
    </w:p>
    <w:p w:rsidR="00347DAA" w:rsidRPr="0017232B" w:rsidRDefault="00347DAA" w:rsidP="00347DAA">
      <w:pPr>
        <w:pStyle w:val="EndnoteText"/>
        <w:ind w:firstLine="567"/>
        <w:jc w:val="both"/>
      </w:pPr>
    </w:p>
  </w:endnote>
  <w:endnote w:id="2">
    <w:p w:rsidR="00347DAA" w:rsidRPr="0017232B" w:rsidRDefault="00347DAA" w:rsidP="00347DAA">
      <w:pPr>
        <w:pStyle w:val="EndnoteText"/>
        <w:jc w:val="both"/>
      </w:pPr>
    </w:p>
  </w:endnote>
  <w:endnote w:id="3">
    <w:p w:rsidR="00347DAA" w:rsidRPr="0017232B" w:rsidRDefault="00347DAA" w:rsidP="00347DAA">
      <w:pPr>
        <w:pStyle w:val="ListParagraph"/>
        <w:spacing w:before="0" w:beforeAutospacing="0" w:after="0" w:afterAutospacing="0"/>
        <w:ind w:firstLine="567"/>
        <w:jc w:val="both"/>
        <w:rPr>
          <w:i/>
          <w:color w:val="000000" w:themeColor="text1"/>
          <w:sz w:val="20"/>
          <w:szCs w:val="20"/>
          <w:u w:val="single"/>
        </w:rPr>
      </w:pPr>
      <w:r w:rsidRPr="0017232B">
        <w:rPr>
          <w:rStyle w:val="EndnoteReference"/>
          <w:sz w:val="20"/>
          <w:szCs w:val="20"/>
        </w:rPr>
        <w:endnoteRef/>
      </w:r>
      <w:r w:rsidRPr="0017232B">
        <w:rPr>
          <w:sz w:val="20"/>
          <w:szCs w:val="20"/>
        </w:rPr>
        <w:t xml:space="preserve"> </w:t>
      </w:r>
      <w:r w:rsidRPr="0017232B">
        <w:rPr>
          <w:i/>
          <w:color w:val="000000" w:themeColor="text1"/>
          <w:sz w:val="20"/>
          <w:szCs w:val="20"/>
          <w:u w:val="single"/>
        </w:rPr>
        <w:t>Pamatojums</w:t>
      </w:r>
    </w:p>
    <w:p w:rsidR="00347DAA" w:rsidRPr="0017232B" w:rsidRDefault="00347DAA" w:rsidP="00347DAA">
      <w:pPr>
        <w:ind w:firstLine="567"/>
        <w:jc w:val="both"/>
        <w:rPr>
          <w:rFonts w:eastAsia="Times New Roman"/>
          <w:i/>
          <w:sz w:val="20"/>
          <w:szCs w:val="20"/>
          <w:lang w:eastAsia="lv-LV"/>
        </w:rPr>
      </w:pPr>
      <w:r w:rsidRPr="0017232B">
        <w:rPr>
          <w:rFonts w:eastAsia="Times New Roman"/>
          <w:i/>
          <w:sz w:val="20"/>
          <w:szCs w:val="20"/>
          <w:lang w:eastAsia="lv-LV"/>
        </w:rPr>
        <w:t>Interneta tehnoloģiju straujā attīstība nodrošina, ka azartspēļu nozarē parādās jauna veida pakalpojumi, kuri daļēji atrodas ārpus normatīvā un nozares nodokļu tvēruma. Viens no šādiem pakalpojumiem ir “kazino studijas” (live casino studio), kurš apvieno tradicionālo zemes kazino un tiešsaistes kazino: studijā esošais personāls (krupjē) spēlē tiešsaistē ar patērētāju, savukārt dalības likmi pieņem ar kompāniju nesaistīta trešā juridiskā persona, kura pērk videotiešraidi no studijas vai šādu uzņēmumu mātes kompānijas.</w:t>
      </w:r>
    </w:p>
    <w:p w:rsidR="00347DAA" w:rsidRPr="0017232B" w:rsidRDefault="00347DAA" w:rsidP="00347DAA">
      <w:pPr>
        <w:ind w:firstLine="567"/>
        <w:jc w:val="both"/>
        <w:rPr>
          <w:rFonts w:eastAsia="Times New Roman"/>
          <w:i/>
          <w:sz w:val="20"/>
          <w:szCs w:val="20"/>
          <w:lang w:eastAsia="lv-LV"/>
        </w:rPr>
      </w:pPr>
      <w:r w:rsidRPr="0017232B">
        <w:rPr>
          <w:rFonts w:eastAsia="Times New Roman"/>
          <w:i/>
          <w:sz w:val="20"/>
          <w:szCs w:val="20"/>
          <w:lang w:eastAsia="lv-LV"/>
        </w:rPr>
        <w:t>Ņemot vērā, ka pakalpojuma ietvaros, lai arī uzņēmuma personāls spēlē ar fizisku personu, bet dalības likmes faktiski pieņem trešās personas, tad pakalpojuma sniedzējs nekvalificējas kā “azartspēles organizators”. Tomēr pakalpojumā kā tā būtiski elementi tiek izmantoti azartspēļu aprīkojums (spēļu galdi), kā arī tiek izspēlēta azartspēle (likumā regulēta spēle) un tiek iesaistīts speciāli apmācīts personāls (kurš reāli komunicē ar patērētāju interneta tiešraidē), līdz ar to šādas darbības nevar tik skatītas atrauti no azartspēļu normatīvā regulējuma.</w:t>
      </w:r>
    </w:p>
    <w:p w:rsidR="00347DAA" w:rsidRPr="0017232B" w:rsidRDefault="00347DAA" w:rsidP="00347DAA">
      <w:pPr>
        <w:ind w:firstLine="567"/>
        <w:jc w:val="both"/>
        <w:rPr>
          <w:rFonts w:eastAsia="Times New Roman"/>
          <w:i/>
          <w:sz w:val="20"/>
          <w:szCs w:val="20"/>
          <w:lang w:eastAsia="lv-LV"/>
        </w:rPr>
      </w:pPr>
      <w:r w:rsidRPr="0017232B">
        <w:rPr>
          <w:rFonts w:eastAsia="Times New Roman"/>
          <w:i/>
          <w:sz w:val="20"/>
          <w:szCs w:val="20"/>
          <w:lang w:eastAsia="lv-LV"/>
        </w:rPr>
        <w:t>Likumprojekta mērķis ir radīt šā brīža azartspēļu nodokļa ietvaros šādām kompānijā atsevišķu samērīgu nodokļu režīmu.</w:t>
      </w:r>
    </w:p>
    <w:p w:rsidR="00347DAA" w:rsidRPr="0017232B" w:rsidRDefault="00347DAA" w:rsidP="00347DAA">
      <w:pPr>
        <w:ind w:firstLine="567"/>
        <w:jc w:val="both"/>
        <w:rPr>
          <w:rFonts w:eastAsia="Times New Roman"/>
          <w:i/>
          <w:sz w:val="20"/>
          <w:szCs w:val="20"/>
          <w:lang w:eastAsia="lv-LV"/>
        </w:rPr>
      </w:pPr>
      <w:r w:rsidRPr="0017232B">
        <w:rPr>
          <w:rFonts w:eastAsia="Times New Roman"/>
          <w:i/>
          <w:sz w:val="20"/>
          <w:szCs w:val="20"/>
          <w:lang w:eastAsia="lv-LV"/>
        </w:rPr>
        <w:t xml:space="preserve">Fiskālā ietekme gadā, ievērojot, ka šādu kompāniju pakalpojumu gada apgrozījums ir virs 100 miljoniem eiro, un tas turpina augt, varētu būt vismaz 5 miljoni eiro. </w:t>
      </w:r>
    </w:p>
    <w:p w:rsidR="00347DAA" w:rsidRPr="0017232B" w:rsidRDefault="00347DAA" w:rsidP="00347DAA">
      <w:pPr>
        <w:pStyle w:val="EndnoteText"/>
        <w:jc w:val="both"/>
      </w:pPr>
    </w:p>
  </w:endnote>
  <w:endnote w:id="4">
    <w:p w:rsidR="00347DAA" w:rsidRPr="0017232B" w:rsidRDefault="00347DAA" w:rsidP="00347DAA">
      <w:pPr>
        <w:ind w:firstLine="567"/>
        <w:jc w:val="both"/>
        <w:rPr>
          <w:rFonts w:eastAsia="Times New Roman"/>
          <w:i/>
          <w:color w:val="000000" w:themeColor="text1"/>
          <w:sz w:val="20"/>
          <w:szCs w:val="20"/>
          <w:u w:val="single"/>
          <w:lang w:eastAsia="lv-LV"/>
        </w:rPr>
      </w:pPr>
      <w:r w:rsidRPr="0017232B">
        <w:rPr>
          <w:rStyle w:val="EndnoteReference"/>
          <w:sz w:val="20"/>
          <w:szCs w:val="20"/>
        </w:rPr>
        <w:endnoteRef/>
      </w:r>
      <w:r w:rsidRPr="0017232B">
        <w:rPr>
          <w:sz w:val="20"/>
          <w:szCs w:val="20"/>
        </w:rPr>
        <w:t xml:space="preserve"> </w:t>
      </w:r>
      <w:r w:rsidRPr="0017232B">
        <w:rPr>
          <w:rFonts w:eastAsia="Times New Roman"/>
          <w:i/>
          <w:color w:val="000000" w:themeColor="text1"/>
          <w:sz w:val="20"/>
          <w:szCs w:val="20"/>
          <w:u w:val="single"/>
          <w:lang w:eastAsia="lv-LV"/>
        </w:rPr>
        <w:t xml:space="preserve">Pamatojums. </w:t>
      </w:r>
    </w:p>
    <w:p w:rsidR="00347DAA" w:rsidRDefault="00347DAA" w:rsidP="00347DAA">
      <w:pPr>
        <w:pStyle w:val="EndnoteText"/>
        <w:ind w:firstLine="567"/>
        <w:jc w:val="both"/>
        <w:rPr>
          <w:rFonts w:eastAsia="Times New Roman"/>
          <w:i/>
          <w:color w:val="000000" w:themeColor="text1"/>
          <w:lang w:eastAsia="lv-LV"/>
        </w:rPr>
      </w:pPr>
      <w:r w:rsidRPr="0017232B">
        <w:rPr>
          <w:rFonts w:eastAsia="Times New Roman"/>
          <w:i/>
          <w:color w:val="000000" w:themeColor="text1"/>
          <w:lang w:eastAsia="lv-LV"/>
        </w:rPr>
        <w:t>Sākoties finanšu krīzei 2009. un 2010. gadā strauji samazinājās valsts finansējums Valsts kultūrkapitāla fondam, kura mērķis ir nodrošināt tādu mākslas un kultūras vidi Latvijā, kas balsta un bagātina katra indivīda un sabiedrības identitāti un attīstību, kā arī ikvienam palīdz izprast un analizēt pasauli, būt elastīgam un atvērtam pārmaiņām. Šobrīd Latvijas sabiedrībā ir vērojama uzticības krīze kopumā. Sabiedrībai ir nepieciešama kultūra, lai saglabātu savas vērtības, zināšanas un vienotību. Tāpēc nepieciešams nodrošināt stabilitāti un ilgtermiņa finanšu plānošanu Valsts kultūrkapitāla fonda darbībā. Lietuvā un Igaunijā jau šobrīd līdzīgu fondu darbība tiek finansēta ar atskaitījumiem no alkohola un tabakas akcīzes nodokļa un loteriju un azartspēļu nodokļiem.</w:t>
      </w:r>
    </w:p>
    <w:p w:rsidR="00347DAA" w:rsidRDefault="00347DAA" w:rsidP="00347DAA">
      <w:pPr>
        <w:pStyle w:val="EndnoteText"/>
        <w:ind w:firstLine="567"/>
        <w:jc w:val="both"/>
        <w:rPr>
          <w:rFonts w:eastAsia="Times New Roman"/>
          <w:i/>
          <w:color w:val="000000" w:themeColor="text1"/>
          <w:lang w:eastAsia="lv-LV"/>
        </w:rPr>
      </w:pPr>
    </w:p>
    <w:p w:rsidR="00347DAA" w:rsidRPr="00C83FBB" w:rsidRDefault="00347DAA" w:rsidP="00347DAA">
      <w:pPr>
        <w:ind w:firstLine="567"/>
        <w:jc w:val="both"/>
        <w:rPr>
          <w:rFonts w:eastAsia="Times New Roman"/>
          <w:b/>
          <w:color w:val="000000" w:themeColor="text1"/>
          <w:sz w:val="22"/>
          <w:u w:val="single"/>
          <w:lang w:eastAsia="lv-LV"/>
        </w:rPr>
      </w:pPr>
      <w:r w:rsidRPr="00C83FBB">
        <w:rPr>
          <w:rFonts w:eastAsia="Times New Roman"/>
          <w:b/>
          <w:color w:val="000000" w:themeColor="text1"/>
          <w:sz w:val="22"/>
          <w:u w:val="single"/>
          <w:lang w:eastAsia="lv-LV"/>
        </w:rPr>
        <w:t>Deputāts I.Parādnieks</w:t>
      </w:r>
    </w:p>
    <w:p w:rsidR="00347DAA" w:rsidRPr="0017232B" w:rsidRDefault="00347DAA" w:rsidP="00347DAA">
      <w:pPr>
        <w:pStyle w:val="naisf"/>
        <w:spacing w:before="0" w:after="0"/>
        <w:ind w:firstLine="567"/>
        <w:contextualSpacing/>
        <w:rPr>
          <w:rFonts w:ascii="Times New Roman" w:hAnsi="Times New Roman" w:cs="Times New Roman"/>
          <w:i/>
          <w:sz w:val="20"/>
          <w:szCs w:val="20"/>
          <w:lang w:val="lv-LV"/>
        </w:rPr>
      </w:pPr>
      <w:r w:rsidRPr="0017232B">
        <w:rPr>
          <w:rFonts w:ascii="Times New Roman" w:hAnsi="Times New Roman" w:cs="Times New Roman"/>
          <w:i/>
          <w:sz w:val="20"/>
          <w:szCs w:val="20"/>
          <w:u w:val="single"/>
          <w:lang w:val="lv-LV"/>
        </w:rPr>
        <w:t>Priekšlikumu pamatojums</w:t>
      </w:r>
      <w:r w:rsidRPr="0017232B">
        <w:rPr>
          <w:rFonts w:ascii="Times New Roman" w:hAnsi="Times New Roman" w:cs="Times New Roman"/>
          <w:i/>
          <w:sz w:val="20"/>
          <w:szCs w:val="20"/>
          <w:lang w:val="lv-LV"/>
        </w:rPr>
        <w:t xml:space="preserve">. Azartspēļu nozare ir saistīta ar īpaši augstu sociālo risku, tādēļ valstij ir nepieciešams veikt regulējošo funkciju, kas daļēji tiek īstenota ar izložu un azartspēļu nodevas un nodokļu palīdzību. Vienlaikus azartspēļu nodevām un nodokļiem ir fiskālā funkcija, kuras uzdevums ir vismaz daļēji nodrošināt ieņēmumus azartspēļu iespējamo negatīvo seku mazināšanai. </w:t>
      </w:r>
    </w:p>
    <w:p w:rsidR="00347DAA" w:rsidRPr="0017232B" w:rsidRDefault="00347DAA" w:rsidP="00347DAA">
      <w:pPr>
        <w:pStyle w:val="Header"/>
        <w:ind w:firstLine="567"/>
        <w:contextualSpacing/>
        <w:jc w:val="both"/>
        <w:rPr>
          <w:rFonts w:ascii="Times New Roman" w:hAnsi="Times New Roman" w:cs="Times New Roman"/>
          <w:i/>
          <w:sz w:val="20"/>
          <w:lang w:val="lv-LV"/>
        </w:rPr>
      </w:pPr>
      <w:r w:rsidRPr="0017232B">
        <w:rPr>
          <w:rFonts w:ascii="Times New Roman" w:hAnsi="Times New Roman" w:cs="Times New Roman"/>
          <w:i/>
          <w:sz w:val="20"/>
          <w:lang w:val="lv-LV"/>
        </w:rPr>
        <w:t>Ministru kabineta piedāvātais azartspēļu nodokļa likmju paaugstinājums par 30% nodokļu reformas ietvaros nav pietiekams. Ārpus apliekamo nodokļu objekta ir palikušas tādas azartspēļu organizēšanas vietas, kas pasaulē ir pazīstamas ar nosaukumu “live dealer studio.” Arī Latvijas jurisdikcijā vairākus gadus darbojas uzņēmumi (ar 100% ārvalstu kapitālu), kuru tirgū sniegtie pakalpojumi ārvalstīs ir pazīstami kā “live dealer studio” vai “live casino studio” (piemēram, Evolution Latvia, Euro live Technologies, Ezugi Studio Latvia). Ņemot vērā, ka šādi uzņēmumi savu darbību ir reģistrējuši zem NACE kodiem 6311 (datu apstrāde, uzturēšana un ar to saistītās darbības) 6201 (datorprogrammēšana) NACE 6399 (citur nekvalificēti informācijas pakalpojumi), tad šobrīd precīzu Latvijas jurisdikcijā darbojošos uzņēmumu skaitu nav iespējams noteikt.</w:t>
      </w:r>
    </w:p>
    <w:p w:rsidR="00347DAA" w:rsidRPr="0017232B" w:rsidRDefault="00347DAA" w:rsidP="00347DAA">
      <w:pPr>
        <w:pStyle w:val="Header"/>
        <w:ind w:firstLine="567"/>
        <w:contextualSpacing/>
        <w:jc w:val="both"/>
        <w:rPr>
          <w:rFonts w:ascii="Times New Roman" w:hAnsi="Times New Roman" w:cs="Times New Roman"/>
          <w:i/>
          <w:sz w:val="20"/>
          <w:lang w:val="lv-LV"/>
        </w:rPr>
      </w:pPr>
      <w:r w:rsidRPr="0017232B">
        <w:rPr>
          <w:rFonts w:ascii="Times New Roman" w:hAnsi="Times New Roman" w:cs="Times New Roman"/>
          <w:i/>
          <w:sz w:val="20"/>
          <w:lang w:val="lv-LV"/>
        </w:rPr>
        <w:t>Šie uzņēmumi sniedz datorprogrammēšanas un datu straumēšanas (data streaming) pakalpojumus apvienojumā ar reālā laikā un vietā (studijā) izspēlētu azartspēli (live casino) izmantojot azartspēļu aprīkojumu – kazino un ruletes galdus. Uzņēmumi publiski sevi dēvē, piemēram, kā “azartspēļu ārpakalpojuma sniedzējs” vai, “azartspēles video producents”, u.c.</w:t>
      </w:r>
    </w:p>
    <w:p w:rsidR="00347DAA" w:rsidRPr="0017232B" w:rsidRDefault="00347DAA" w:rsidP="00347DAA">
      <w:pPr>
        <w:ind w:firstLine="567"/>
        <w:contextualSpacing/>
        <w:jc w:val="both"/>
        <w:rPr>
          <w:i/>
          <w:sz w:val="20"/>
          <w:szCs w:val="20"/>
        </w:rPr>
      </w:pPr>
      <w:r w:rsidRPr="0017232B">
        <w:rPr>
          <w:i/>
          <w:sz w:val="20"/>
          <w:szCs w:val="20"/>
        </w:rPr>
        <w:t>Attiecībā uz ārvalstu regulējumu jāmin, ka Lielbritānijā un Beļģijā jau ir pieredze aplikt šādu kompāniju darbības ar nodokli. Lielbritānijas2014.gadā veica plašas izmaiņas savā likumdošanā attiecībā uz “online gambling”. Lai arī Lielbritānijā likumdošanā nav atsevišķs regulējums “Live Dealer” pakalpojumu sniedzējiem, tomēr sākot no 2014.gada likumdošana tiek regulēts “Gambling software” jeb “azartspēļu programmatūras” pakalpojums.</w:t>
      </w:r>
    </w:p>
    <w:p w:rsidR="00347DAA" w:rsidRPr="0017232B" w:rsidRDefault="00347DAA" w:rsidP="00347DAA">
      <w:pPr>
        <w:ind w:firstLine="567"/>
        <w:contextualSpacing/>
        <w:jc w:val="both"/>
        <w:rPr>
          <w:i/>
          <w:sz w:val="20"/>
          <w:szCs w:val="20"/>
        </w:rPr>
      </w:pPr>
      <w:r w:rsidRPr="0017232B">
        <w:rPr>
          <w:i/>
          <w:sz w:val="20"/>
          <w:szCs w:val="20"/>
        </w:rPr>
        <w:t>Faktiski šī azartspēļu organizēšana ir tāda pati kā klātesot spēlētājam, tikai ar atšķirību, ka tiek izmantota starpnieka video tiešsaiste, tāpēc arī šis pakalpojums būtu apliekams ar nodokli. Lai nodoklis būtu samērīgs, tiek piedāvāts piemērot 50% no likmes, kas ir noteikta par kazino galdu. Latvijā šādi galdi varētu būt vismaz 150. Kopējie valsts budžeta ieņēmumi - aptuveni 1,8 milj. eiro gadā.</w:t>
      </w:r>
    </w:p>
    <w:p w:rsidR="00347DAA" w:rsidRPr="0017232B" w:rsidRDefault="00347DAA" w:rsidP="00347DAA">
      <w:pPr>
        <w:pStyle w:val="EndnoteText"/>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DC49D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B304B5"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DC49D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2FC">
      <w:rPr>
        <w:rStyle w:val="PageNumber"/>
        <w:noProof/>
      </w:rPr>
      <w:t>6</w:t>
    </w:r>
    <w:r>
      <w:rPr>
        <w:rStyle w:val="PageNumber"/>
      </w:rPr>
      <w:fldChar w:fldCharType="end"/>
    </w:r>
  </w:p>
  <w:p w:rsidR="00511D34" w:rsidRDefault="00B304B5" w:rsidP="00511D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A4" w:rsidRPr="00603EA4" w:rsidRDefault="00603EA4">
    <w:pPr>
      <w:pStyle w:val="Footer"/>
      <w:rPr>
        <w:sz w:val="20"/>
      </w:rPr>
    </w:pPr>
    <w:r w:rsidRPr="00603EA4">
      <w:rPr>
        <w:sz w:val="20"/>
      </w:rPr>
      <w:fldChar w:fldCharType="begin"/>
    </w:r>
    <w:r w:rsidRPr="00603EA4">
      <w:rPr>
        <w:sz w:val="20"/>
      </w:rPr>
      <w:instrText xml:space="preserve"> FILENAME   \* MERGEFORMAT </w:instrText>
    </w:r>
    <w:r w:rsidRPr="00603EA4">
      <w:rPr>
        <w:sz w:val="20"/>
      </w:rPr>
      <w:fldChar w:fldCharType="separate"/>
    </w:r>
    <w:r>
      <w:rPr>
        <w:noProof/>
        <w:sz w:val="20"/>
      </w:rPr>
      <w:t>Lp976_2k_IANNgroz uz MK.docx</w:t>
    </w:r>
    <w:r w:rsidRPr="00603EA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B5" w:rsidRDefault="00B304B5">
      <w:r>
        <w:separator/>
      </w:r>
    </w:p>
  </w:footnote>
  <w:footnote w:type="continuationSeparator" w:id="0">
    <w:p w:rsidR="00B304B5" w:rsidRDefault="00B3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82D"/>
    <w:multiLevelType w:val="hybridMultilevel"/>
    <w:tmpl w:val="636CA2FA"/>
    <w:lvl w:ilvl="0" w:tplc="42D2E8B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D895859"/>
    <w:multiLevelType w:val="hybridMultilevel"/>
    <w:tmpl w:val="94EEF412"/>
    <w:lvl w:ilvl="0" w:tplc="A920C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D3"/>
    <w:rsid w:val="0017232B"/>
    <w:rsid w:val="00180435"/>
    <w:rsid w:val="001D72F6"/>
    <w:rsid w:val="00347DAA"/>
    <w:rsid w:val="003B49A3"/>
    <w:rsid w:val="00405509"/>
    <w:rsid w:val="004D7945"/>
    <w:rsid w:val="00603EA4"/>
    <w:rsid w:val="006E42FC"/>
    <w:rsid w:val="00726BE4"/>
    <w:rsid w:val="007505A0"/>
    <w:rsid w:val="007A4333"/>
    <w:rsid w:val="008934AF"/>
    <w:rsid w:val="00AA55B8"/>
    <w:rsid w:val="00AB444C"/>
    <w:rsid w:val="00B304B5"/>
    <w:rsid w:val="00C6206F"/>
    <w:rsid w:val="00C83FBB"/>
    <w:rsid w:val="00DC4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4296-DC81-4406-8D79-27FA977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D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C49D3"/>
    <w:rPr>
      <w:i/>
      <w:iCs/>
    </w:rPr>
  </w:style>
  <w:style w:type="paragraph" w:styleId="Footer">
    <w:name w:val="footer"/>
    <w:basedOn w:val="Normal"/>
    <w:link w:val="FooterChar"/>
    <w:rsid w:val="00DC49D3"/>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DC49D3"/>
    <w:rPr>
      <w:rFonts w:ascii="Times New Roman" w:eastAsia="Times New Roman" w:hAnsi="Times New Roman" w:cs="Times New Roman"/>
      <w:sz w:val="24"/>
      <w:szCs w:val="24"/>
      <w:lang w:val="en-GB"/>
    </w:rPr>
  </w:style>
  <w:style w:type="character" w:styleId="PageNumber">
    <w:name w:val="page number"/>
    <w:rsid w:val="00DC49D3"/>
  </w:style>
  <w:style w:type="paragraph" w:styleId="ListParagraph">
    <w:name w:val="List Paragraph"/>
    <w:basedOn w:val="Normal"/>
    <w:uiPriority w:val="34"/>
    <w:qFormat/>
    <w:rsid w:val="00DC49D3"/>
    <w:pPr>
      <w:spacing w:before="100" w:beforeAutospacing="1" w:after="100" w:afterAutospacing="1"/>
    </w:pPr>
    <w:rPr>
      <w:rFonts w:eastAsia="Times New Roman"/>
      <w:szCs w:val="24"/>
      <w:lang w:eastAsia="lv-LV"/>
    </w:rPr>
  </w:style>
  <w:style w:type="paragraph" w:customStyle="1" w:styleId="tv213">
    <w:name w:val="tv213"/>
    <w:basedOn w:val="Normal"/>
    <w:rsid w:val="00DC49D3"/>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DC49D3"/>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DC49D3"/>
    <w:rPr>
      <w:color w:val="0000FF"/>
      <w:u w:val="single"/>
    </w:rPr>
  </w:style>
  <w:style w:type="paragraph" w:styleId="EndnoteText">
    <w:name w:val="endnote text"/>
    <w:basedOn w:val="Normal"/>
    <w:link w:val="EndnoteTextChar"/>
    <w:uiPriority w:val="99"/>
    <w:semiHidden/>
    <w:unhideWhenUsed/>
    <w:rsid w:val="00C83FBB"/>
    <w:rPr>
      <w:sz w:val="20"/>
      <w:szCs w:val="20"/>
    </w:rPr>
  </w:style>
  <w:style w:type="character" w:customStyle="1" w:styleId="EndnoteTextChar">
    <w:name w:val="Endnote Text Char"/>
    <w:basedOn w:val="DefaultParagraphFont"/>
    <w:link w:val="EndnoteText"/>
    <w:uiPriority w:val="99"/>
    <w:semiHidden/>
    <w:rsid w:val="00C83FBB"/>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83FBB"/>
    <w:rPr>
      <w:vertAlign w:val="superscript"/>
    </w:rPr>
  </w:style>
  <w:style w:type="paragraph" w:styleId="Header">
    <w:name w:val="header"/>
    <w:basedOn w:val="Normal"/>
    <w:link w:val="HeaderChar"/>
    <w:unhideWhenUsed/>
    <w:rsid w:val="0017232B"/>
    <w:pPr>
      <w:tabs>
        <w:tab w:val="center" w:pos="4153"/>
        <w:tab w:val="right" w:pos="8306"/>
      </w:tabs>
      <w:suppressAutoHyphens/>
      <w:overflowPunct w:val="0"/>
      <w:autoSpaceDE w:val="0"/>
      <w:textAlignment w:val="baseline"/>
    </w:pPr>
    <w:rPr>
      <w:rFonts w:ascii="RimTimes" w:eastAsia="Times New Roman" w:hAnsi="RimTimes" w:cs="RimTimes"/>
      <w:sz w:val="28"/>
      <w:szCs w:val="20"/>
      <w:lang w:val="en-GB" w:eastAsia="zh-CN"/>
    </w:rPr>
  </w:style>
  <w:style w:type="character" w:customStyle="1" w:styleId="HeaderChar">
    <w:name w:val="Header Char"/>
    <w:basedOn w:val="DefaultParagraphFont"/>
    <w:link w:val="Header"/>
    <w:rsid w:val="0017232B"/>
    <w:rPr>
      <w:rFonts w:ascii="RimTimes" w:eastAsia="Times New Roman" w:hAnsi="RimTimes" w:cs="RimTimes"/>
      <w:sz w:val="28"/>
      <w:szCs w:val="20"/>
      <w:lang w:val="en-GB" w:eastAsia="zh-CN"/>
    </w:rPr>
  </w:style>
  <w:style w:type="paragraph" w:customStyle="1" w:styleId="naisf">
    <w:name w:val="naisf"/>
    <w:basedOn w:val="Normal"/>
    <w:rsid w:val="0017232B"/>
    <w:pPr>
      <w:spacing w:before="75" w:after="75"/>
      <w:ind w:firstLine="375"/>
      <w:jc w:val="both"/>
    </w:pPr>
    <w:rPr>
      <w:rFonts w:ascii="Arial" w:eastAsia="Times New Roman" w:hAnsi="Arial" w:cs="Arial"/>
      <w:szCs w:val="24"/>
      <w:lang w:val="en-GB"/>
    </w:rPr>
  </w:style>
  <w:style w:type="paragraph" w:styleId="BalloonText">
    <w:name w:val="Balloon Text"/>
    <w:basedOn w:val="Normal"/>
    <w:link w:val="BalloonTextChar"/>
    <w:uiPriority w:val="99"/>
    <w:semiHidden/>
    <w:unhideWhenUsed/>
    <w:rsid w:val="00347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D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357">
      <w:bodyDiv w:val="1"/>
      <w:marLeft w:val="0"/>
      <w:marRight w:val="0"/>
      <w:marTop w:val="0"/>
      <w:marBottom w:val="0"/>
      <w:divBdr>
        <w:top w:val="none" w:sz="0" w:space="0" w:color="auto"/>
        <w:left w:val="none" w:sz="0" w:space="0" w:color="auto"/>
        <w:bottom w:val="none" w:sz="0" w:space="0" w:color="auto"/>
        <w:right w:val="none" w:sz="0" w:space="0" w:color="auto"/>
      </w:divBdr>
    </w:div>
    <w:div w:id="96367256">
      <w:bodyDiv w:val="1"/>
      <w:marLeft w:val="0"/>
      <w:marRight w:val="0"/>
      <w:marTop w:val="0"/>
      <w:marBottom w:val="0"/>
      <w:divBdr>
        <w:top w:val="none" w:sz="0" w:space="0" w:color="auto"/>
        <w:left w:val="none" w:sz="0" w:space="0" w:color="auto"/>
        <w:bottom w:val="none" w:sz="0" w:space="0" w:color="auto"/>
        <w:right w:val="none" w:sz="0" w:space="0" w:color="auto"/>
      </w:divBdr>
    </w:div>
    <w:div w:id="147210293">
      <w:bodyDiv w:val="1"/>
      <w:marLeft w:val="0"/>
      <w:marRight w:val="0"/>
      <w:marTop w:val="0"/>
      <w:marBottom w:val="0"/>
      <w:divBdr>
        <w:top w:val="none" w:sz="0" w:space="0" w:color="auto"/>
        <w:left w:val="none" w:sz="0" w:space="0" w:color="auto"/>
        <w:bottom w:val="none" w:sz="0" w:space="0" w:color="auto"/>
        <w:right w:val="none" w:sz="0" w:space="0" w:color="auto"/>
      </w:divBdr>
    </w:div>
    <w:div w:id="1657763789">
      <w:bodyDiv w:val="1"/>
      <w:marLeft w:val="0"/>
      <w:marRight w:val="0"/>
      <w:marTop w:val="0"/>
      <w:marBottom w:val="0"/>
      <w:divBdr>
        <w:top w:val="none" w:sz="0" w:space="0" w:color="auto"/>
        <w:left w:val="none" w:sz="0" w:space="0" w:color="auto"/>
        <w:bottom w:val="none" w:sz="0" w:space="0" w:color="auto"/>
        <w:right w:val="none" w:sz="0" w:space="0" w:color="auto"/>
      </w:divBdr>
    </w:div>
    <w:div w:id="19540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5CC2-B369-46EF-934B-5C140C87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4916</Words>
  <Characters>2803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izložu un azartspēļu nodevu un nodokli”</dc:title>
  <dc:subject>Likumprojekts</dc:subject>
  <dc:creator>Daina Robežniece</dc:creator>
  <cp:keywords/>
  <dc:description>Daina.robezniece@fm.gov.lv_x000d_
67-095-495</dc:description>
  <cp:lastModifiedBy>Zane Zute</cp:lastModifiedBy>
  <cp:revision>9</cp:revision>
  <cp:lastPrinted>2017-07-24T18:35:00Z</cp:lastPrinted>
  <dcterms:created xsi:type="dcterms:W3CDTF">2017-07-12T13:40:00Z</dcterms:created>
  <dcterms:modified xsi:type="dcterms:W3CDTF">2017-07-25T06:49:00Z</dcterms:modified>
</cp:coreProperties>
</file>